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sz w:val="36"/>
          <w:szCs w:val="36"/>
        </w:rPr>
      </w:pPr>
      <w:bookmarkStart w:id="0" w:name="OLE_LINK1"/>
      <w:r>
        <w:rPr>
          <w:rFonts w:ascii="微软雅黑" w:hAnsi="微软雅黑" w:eastAsia="微软雅黑"/>
          <w:sz w:val="36"/>
          <w:szCs w:val="36"/>
        </w:rPr>
        <w:t>2021</w:t>
      </w:r>
      <w:r>
        <w:rPr>
          <w:rFonts w:hint="eastAsia" w:ascii="微软雅黑" w:hAnsi="微软雅黑" w:eastAsia="微软雅黑"/>
          <w:sz w:val="36"/>
          <w:szCs w:val="36"/>
        </w:rPr>
        <w:t>年全国工业互联网预测性维护</w:t>
      </w: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行业技能大赛赛项规程</w:t>
      </w:r>
    </w:p>
    <w:bookmarkEnd w:id="0"/>
    <w:p>
      <w:pPr>
        <w:pStyle w:val="4"/>
        <w:tabs>
          <w:tab w:val="left" w:pos="942"/>
        </w:tabs>
        <w:spacing w:before="240" w:line="360" w:lineRule="auto"/>
        <w:ind w:left="0" w:firstLine="0"/>
        <w:rPr>
          <w:color w:val="FF0000"/>
        </w:rPr>
      </w:pPr>
      <w:r>
        <w:rPr>
          <w:rFonts w:hint="eastAsia"/>
          <w:color w:val="FF0000"/>
          <w:lang w:eastAsia="zh-CN"/>
        </w:rPr>
        <w:tab/>
      </w:r>
    </w:p>
    <w:p>
      <w:pPr>
        <w:pStyle w:val="3"/>
        <w:spacing w:line="360" w:lineRule="auto"/>
        <w:ind w:left="0" w:firstLine="0"/>
      </w:pPr>
      <w:r>
        <w:t>一、赛项名称</w:t>
      </w:r>
    </w:p>
    <w:p>
      <w:pPr>
        <w:pStyle w:val="3"/>
        <w:spacing w:line="360" w:lineRule="auto"/>
        <w:ind w:left="0" w:firstLine="0"/>
        <w:rPr>
          <w:rFonts w:hint="default" w:eastAsia="仿宋"/>
          <w:lang w:val="en-US" w:eastAsia="zh-CN"/>
        </w:rPr>
      </w:pPr>
      <w:r>
        <w:t>赛项名称：</w:t>
      </w:r>
      <w:r>
        <w:rPr>
          <w:rFonts w:hint="eastAsia"/>
          <w:lang w:val="en-US" w:eastAsia="zh-CN"/>
        </w:rPr>
        <w:t>全国</w:t>
      </w:r>
      <w:r>
        <w:rPr>
          <w:rFonts w:hint="eastAsia"/>
        </w:rPr>
        <w:t>工业互联网预测性维护</w:t>
      </w:r>
      <w:r>
        <w:rPr>
          <w:rFonts w:hint="eastAsia"/>
          <w:lang w:val="en-US" w:eastAsia="zh-CN"/>
        </w:rPr>
        <w:t>行业技能大赛</w:t>
      </w:r>
      <w:bookmarkStart w:id="263" w:name="_GoBack"/>
      <w:bookmarkEnd w:id="263"/>
    </w:p>
    <w:p>
      <w:pPr>
        <w:pStyle w:val="3"/>
        <w:spacing w:line="360" w:lineRule="auto"/>
        <w:ind w:left="0" w:firstLine="0"/>
        <w:rPr>
          <w:rFonts w:hint="eastAsia" w:eastAsia="仿宋"/>
          <w:lang w:eastAsia="zh-CN"/>
        </w:rPr>
      </w:pPr>
      <w:r>
        <w:t>赛项组别：</w:t>
      </w:r>
      <w:r>
        <w:rPr>
          <w:rFonts w:hint="eastAsia"/>
        </w:rPr>
        <w:t>高职院校/中职院校</w:t>
      </w:r>
      <w:r>
        <w:rPr>
          <w:rFonts w:hint="eastAsia"/>
          <w:lang w:eastAsia="zh-CN"/>
        </w:rPr>
        <w:t>（</w:t>
      </w:r>
      <w:r>
        <w:rPr>
          <w:rFonts w:hint="eastAsia"/>
          <w:lang w:val="en-US" w:eastAsia="zh-CN"/>
        </w:rPr>
        <w:t>四至五年级学生</w:t>
      </w:r>
      <w:r>
        <w:rPr>
          <w:rFonts w:hint="eastAsia"/>
          <w:lang w:eastAsia="zh-CN"/>
        </w:rPr>
        <w:t>）</w:t>
      </w:r>
    </w:p>
    <w:p>
      <w:pPr>
        <w:pStyle w:val="3"/>
        <w:spacing w:line="360" w:lineRule="auto"/>
        <w:ind w:left="0" w:firstLine="0"/>
        <w:rPr>
          <w:rFonts w:hint="eastAsia" w:eastAsia="仿宋"/>
          <w:lang w:val="en-US" w:eastAsia="zh-CN"/>
        </w:rPr>
      </w:pPr>
      <w:r>
        <w:t>赛项归属专业大类：</w:t>
      </w:r>
      <w:r>
        <w:rPr>
          <w:rFonts w:hint="eastAsia"/>
        </w:rPr>
        <w:t>电子信息大类、</w:t>
      </w:r>
      <w:r>
        <w:rPr>
          <w:rFonts w:hint="eastAsia"/>
          <w:lang w:val="en-US" w:eastAsia="zh-CN"/>
        </w:rPr>
        <w:t>装备</w:t>
      </w:r>
      <w:r>
        <w:rPr>
          <w:rFonts w:hint="eastAsia"/>
          <w:highlight w:val="none"/>
        </w:rPr>
        <w:t>制造大类</w:t>
      </w:r>
      <w:r>
        <w:rPr>
          <w:rFonts w:hint="eastAsia"/>
          <w:highlight w:val="none"/>
          <w:lang w:val="en-US" w:eastAsia="zh-CN"/>
        </w:rPr>
        <w:t>等</w:t>
      </w:r>
    </w:p>
    <w:p>
      <w:pPr>
        <w:pStyle w:val="4"/>
        <w:spacing w:before="214" w:line="360" w:lineRule="auto"/>
        <w:ind w:left="0"/>
      </w:pPr>
      <w:r>
        <w:t>二、竞赛目的</w:t>
      </w:r>
    </w:p>
    <w:p>
      <w:pPr>
        <w:snapToGrid w:val="0"/>
        <w:spacing w:line="360" w:lineRule="auto"/>
        <w:ind w:right="-110" w:rightChars="-50" w:firstLine="480" w:firstLineChars="200"/>
        <w:rPr>
          <w:sz w:val="24"/>
          <w:szCs w:val="24"/>
        </w:rPr>
      </w:pPr>
      <w:r>
        <w:rPr>
          <w:rFonts w:hint="eastAsia"/>
          <w:sz w:val="24"/>
          <w:szCs w:val="24"/>
        </w:rPr>
        <w:t>工业互联网是新一代信息技术与</w:t>
      </w:r>
      <w:r>
        <w:rPr>
          <w:rFonts w:hint="eastAsia" w:ascii="仿宋" w:hAnsi="仿宋" w:eastAsia="仿宋"/>
          <w:color w:val="000000"/>
          <w:sz w:val="28"/>
          <w:szCs w:val="28"/>
          <w:lang w:val="en-US" w:eastAsia="zh-CN"/>
        </w:rPr>
        <w:t>制造业</w:t>
      </w:r>
      <w:r>
        <w:rPr>
          <w:rFonts w:hint="eastAsia"/>
          <w:sz w:val="24"/>
          <w:szCs w:val="24"/>
        </w:rPr>
        <w:t>深度融合的全新工业生态、关键基础设施和新型应用模式，通过人、机、物的全面互联，实现全要素、全产业链、全价值链的全面连接，将推动形成全新的工业生产制造和服务体系。</w:t>
      </w:r>
    </w:p>
    <w:p>
      <w:pPr>
        <w:snapToGrid w:val="0"/>
        <w:spacing w:line="360" w:lineRule="auto"/>
        <w:ind w:right="-110" w:rightChars="-50" w:firstLine="480" w:firstLineChars="200"/>
      </w:pPr>
      <w:r>
        <w:rPr>
          <w:rFonts w:hint="eastAsia" w:ascii="仿宋" w:hAnsi="仿宋" w:eastAsia="仿宋"/>
          <w:sz w:val="24"/>
          <w:szCs w:val="24"/>
        </w:rPr>
        <w:t>通过工业互联网预测性维护新型</w:t>
      </w:r>
      <w:r>
        <w:rPr>
          <w:rFonts w:hint="eastAsia" w:ascii="仿宋" w:hAnsi="仿宋" w:eastAsia="仿宋"/>
          <w:sz w:val="24"/>
          <w:szCs w:val="24"/>
          <w:lang w:val="en-US" w:eastAsia="zh-CN"/>
        </w:rPr>
        <w:t>技能</w:t>
      </w:r>
      <w:r>
        <w:rPr>
          <w:rFonts w:hint="eastAsia" w:ascii="仿宋" w:hAnsi="仿宋" w:eastAsia="仿宋"/>
          <w:sz w:val="24"/>
          <w:szCs w:val="24"/>
        </w:rPr>
        <w:t>竞赛，激发其对工业互联网预测性维护领域的学习和研究兴趣，同时为工业互联网预测性维护领域输送更多复合型人才，引领产业技术创新，推动工业互联网落地实施。</w:t>
      </w:r>
    </w:p>
    <w:p>
      <w:pPr>
        <w:snapToGrid w:val="0"/>
        <w:spacing w:line="360" w:lineRule="auto"/>
        <w:ind w:right="-110" w:rightChars="-50" w:firstLine="480" w:firstLineChars="200"/>
        <w:rPr>
          <w:sz w:val="24"/>
          <w:szCs w:val="24"/>
        </w:rPr>
      </w:pPr>
      <w:r>
        <w:rPr>
          <w:rFonts w:hint="eastAsia"/>
          <w:sz w:val="24"/>
          <w:szCs w:val="24"/>
        </w:rPr>
        <w:t>本赛项围绕行业核心岗位群的知识、能力、素质要求，并考虑未来工业互联网应用新技术、新标准、新规范的发展趋势，设计竞赛内容。</w:t>
      </w:r>
    </w:p>
    <w:p>
      <w:pPr>
        <w:snapToGrid w:val="0"/>
        <w:spacing w:line="360" w:lineRule="auto"/>
        <w:ind w:right="-110" w:rightChars="-50" w:firstLine="480" w:firstLineChars="200"/>
        <w:rPr>
          <w:sz w:val="24"/>
          <w:szCs w:val="24"/>
        </w:rPr>
      </w:pPr>
      <w:r>
        <w:rPr>
          <w:rFonts w:hint="eastAsia"/>
          <w:sz w:val="24"/>
          <w:szCs w:val="24"/>
        </w:rPr>
        <w:t>通过分析工业互联网预测性维护相关工种的知识、能力、素质要求，以及新技术发展趋势，赛项设计以</w:t>
      </w:r>
      <w:r>
        <w:rPr>
          <w:rFonts w:hint="eastAsia" w:ascii="仿宋" w:hAnsi="仿宋" w:eastAsia="仿宋"/>
          <w:sz w:val="24"/>
          <w:szCs w:val="24"/>
        </w:rPr>
        <w:t>《关于在院校实施“学历证书+若干职业技能等级证书”制度试点方案》</w:t>
      </w:r>
      <w:r>
        <w:rPr>
          <w:rFonts w:hint="eastAsia"/>
          <w:sz w:val="24"/>
          <w:szCs w:val="24"/>
        </w:rPr>
        <w:t>和</w:t>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工业和信息化部办公厅关于推动工业互联网加快发展的通知</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rPr>
          <w:rFonts w:hint="eastAsia"/>
          <w:sz w:val="24"/>
          <w:szCs w:val="24"/>
        </w:rPr>
        <w:t>为背景，结合当前“工业互联网”</w:t>
      </w:r>
      <w:r>
        <w:rPr>
          <w:rFonts w:hint="eastAsia"/>
          <w:sz w:val="24"/>
          <w:szCs w:val="24"/>
          <w:lang w:val="en-US" w:eastAsia="zh-CN"/>
        </w:rPr>
        <w:t>典型应用场景</w:t>
      </w:r>
      <w:r>
        <w:rPr>
          <w:rFonts w:hint="eastAsia"/>
          <w:sz w:val="24"/>
          <w:szCs w:val="24"/>
        </w:rPr>
        <w:t>，将工业互联网预测性维护相关技能技术结合起来、鼓励参赛选手根据预测性维护的相关原理和模式，对其所涉及到的</w:t>
      </w:r>
      <w:r>
        <w:rPr>
          <w:rFonts w:hint="eastAsia"/>
          <w:sz w:val="24"/>
          <w:szCs w:val="24"/>
          <w:highlight w:val="none"/>
          <w:lang w:val="en-US" w:eastAsia="zh-CN"/>
        </w:rPr>
        <w:t>核心装置及产线进行预测性维护</w:t>
      </w:r>
      <w:r>
        <w:rPr>
          <w:rFonts w:hint="eastAsia"/>
          <w:sz w:val="24"/>
          <w:szCs w:val="24"/>
        </w:rPr>
        <w:t>。充分发挥参赛选手的创意创新和动手分析能力。考查参赛选手构思、设计、实施和维护的项目全流程能力：以项目为基础，针对预测性维护产业人才需求特点，要求参赛选手对工业自动化及相关应用</w:t>
      </w:r>
      <w:r>
        <w:rPr>
          <w:rFonts w:hint="eastAsia"/>
          <w:sz w:val="24"/>
          <w:szCs w:val="24"/>
          <w:lang w:val="en-US" w:eastAsia="zh-CN"/>
        </w:rPr>
        <w:t>装置</w:t>
      </w:r>
      <w:r>
        <w:rPr>
          <w:rFonts w:hint="eastAsia"/>
          <w:sz w:val="24"/>
          <w:szCs w:val="24"/>
        </w:rPr>
        <w:t>有敏锐的嗅觉和一定的构思设计能力，重点考查参赛选手的产品的应用、搭建、设计开发、测试和运营、再创新等能力。</w:t>
      </w:r>
    </w:p>
    <w:p>
      <w:pPr>
        <w:snapToGrid w:val="0"/>
        <w:spacing w:line="360" w:lineRule="auto"/>
        <w:ind w:right="-110" w:rightChars="-50" w:firstLine="480" w:firstLineChars="200"/>
        <w:rPr>
          <w:sz w:val="24"/>
          <w:szCs w:val="24"/>
        </w:rPr>
      </w:pPr>
      <w:r>
        <w:rPr>
          <w:rFonts w:hint="eastAsia"/>
          <w:sz w:val="24"/>
          <w:szCs w:val="24"/>
        </w:rPr>
        <w:t>通过本次大赛，搭建校企合作的平台，提升专业人员能力素质与企业用人标准的吻合度，将行业资源、企业资源与教学资源相整合，引领相关专业建设、课程体系建设、人才培养方案和人才培养模式等方面的改革方向。同时，提升技能大赛与产业发展相同步的水平，推动两化融合，提高职业教育服务经济发展方式转变和产业结构调整的能力，推进我国工业互联网加快发展的步伐。</w:t>
      </w:r>
    </w:p>
    <w:p>
      <w:pPr>
        <w:pStyle w:val="4"/>
        <w:spacing w:before="214" w:line="360" w:lineRule="auto"/>
        <w:ind w:left="0"/>
      </w:pPr>
      <w:r>
        <w:t>三、竞赛内容</w:t>
      </w:r>
    </w:p>
    <w:p>
      <w:pPr>
        <w:snapToGrid w:val="0"/>
        <w:spacing w:line="360" w:lineRule="auto"/>
        <w:ind w:right="-110" w:rightChars="-50" w:firstLine="480" w:firstLineChars="200"/>
        <w:rPr>
          <w:sz w:val="24"/>
          <w:szCs w:val="24"/>
        </w:rPr>
      </w:pPr>
      <w:bookmarkStart w:id="1" w:name="_Toc6966"/>
      <w:r>
        <w:rPr>
          <w:rFonts w:hint="eastAsia"/>
          <w:sz w:val="24"/>
          <w:szCs w:val="24"/>
        </w:rPr>
        <w:t>2021年工业互联网预测性维护，</w:t>
      </w:r>
      <w:r>
        <w:rPr>
          <w:rFonts w:hint="eastAsia" w:ascii="仿宋" w:hAnsi="仿宋" w:eastAsia="仿宋" w:cs="仿宋"/>
          <w:color w:val="000000"/>
          <w:sz w:val="24"/>
          <w:szCs w:val="24"/>
        </w:rPr>
        <w:t>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主流工业自动化产线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w:t>
      </w:r>
      <w:r>
        <w:rPr>
          <w:rFonts w:hint="eastAsia" w:ascii="仿宋" w:hAnsi="仿宋" w:eastAsia="仿宋" w:cs="仿宋"/>
          <w:color w:val="000000"/>
          <w:sz w:val="24"/>
          <w:szCs w:val="24"/>
          <w:lang w:val="en-US" w:eastAsia="zh-CN"/>
        </w:rPr>
        <w:t>基础</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“工业互联网预测性维护”为考核内容，</w:t>
      </w:r>
      <w:r>
        <w:rPr>
          <w:rFonts w:hint="eastAsia"/>
          <w:sz w:val="24"/>
          <w:szCs w:val="24"/>
        </w:rPr>
        <w:t>采用新型</w:t>
      </w:r>
      <w:r>
        <w:rPr>
          <w:rFonts w:hint="eastAsia"/>
          <w:sz w:val="24"/>
          <w:szCs w:val="24"/>
          <w:highlight w:val="none"/>
        </w:rPr>
        <w:t>输送和生产、制造、装配、入库</w:t>
      </w:r>
      <w:r>
        <w:rPr>
          <w:rFonts w:hint="eastAsia"/>
          <w:sz w:val="24"/>
          <w:szCs w:val="24"/>
        </w:rPr>
        <w:t>，利用复杂多变的产线条件，配备主流工业传感器和</w:t>
      </w:r>
      <w:r>
        <w:rPr>
          <w:rFonts w:hint="eastAsia"/>
          <w:sz w:val="24"/>
          <w:szCs w:val="24"/>
          <w:lang w:eastAsia="zh-CN"/>
        </w:rPr>
        <w:t>工业互联网预测性维护平台</w:t>
      </w:r>
      <w:r>
        <w:rPr>
          <w:rFonts w:hint="eastAsia"/>
          <w:sz w:val="24"/>
          <w:szCs w:val="24"/>
        </w:rPr>
        <w:t>进行设计、分析、安装、调试、综合平台各个过程条件的控制，辅以不同被控对象，以主流工业</w:t>
      </w:r>
      <w:r>
        <w:rPr>
          <w:rFonts w:hint="eastAsia"/>
          <w:sz w:val="24"/>
          <w:szCs w:val="24"/>
          <w:lang w:val="en-US" w:eastAsia="zh-CN"/>
        </w:rPr>
        <w:t>装备</w:t>
      </w:r>
      <w:r>
        <w:rPr>
          <w:rFonts w:hint="eastAsia"/>
          <w:sz w:val="24"/>
          <w:szCs w:val="24"/>
        </w:rPr>
        <w:t>制造特殊环境进行设计和训练考核，整个竞赛模式皆通过多种基础及难度增加的方式进行全方位的训练和考核来达到行业竞赛的真实目的和促进教学改革的新开展。竞赛主要考核团队工作能力、质量控制、安全意识、职业素养、项目组织与实践管理能力、理解分析对人工智能创新性能力及学生综合职业能力。</w:t>
      </w:r>
      <w:bookmarkEnd w:id="1"/>
    </w:p>
    <w:p>
      <w:pPr>
        <w:snapToGrid w:val="0"/>
        <w:spacing w:line="360" w:lineRule="auto"/>
        <w:ind w:right="-110" w:rightChars="-50" w:firstLine="480" w:firstLineChars="200"/>
        <w:rPr>
          <w:sz w:val="24"/>
          <w:szCs w:val="24"/>
        </w:rPr>
      </w:pPr>
      <w:r>
        <w:rPr>
          <w:rFonts w:hint="eastAsia"/>
          <w:sz w:val="24"/>
          <w:szCs w:val="24"/>
        </w:rPr>
        <w:t>本赛项在内容上与产业紧密结合，引导行业发展方向。赛项命题选择当前工业智能新风向预测性维护为核心，结合当前中国制造实际所应用的背景和其发展的方向以及《工业和信息化部办公厅关于推动工业互联网加快发展的通知》，打造出工业互联网人才实训基地，同时对职业院校相关专业的发展提供参考和指导方向。</w:t>
      </w:r>
    </w:p>
    <w:p>
      <w:pPr>
        <w:snapToGrid w:val="0"/>
        <w:spacing w:line="360" w:lineRule="auto"/>
        <w:ind w:right="-110" w:rightChars="-50" w:firstLine="480" w:firstLineChars="200"/>
        <w:rPr>
          <w:sz w:val="24"/>
          <w:szCs w:val="24"/>
        </w:rPr>
      </w:pPr>
      <w:r>
        <w:rPr>
          <w:rFonts w:hint="eastAsia"/>
          <w:sz w:val="24"/>
          <w:szCs w:val="24"/>
        </w:rPr>
        <w:t>本次行业竞赛所设置的题型和考核标准与预测性维护相关行业实际工作内容相吻合，赛项以预测性维护大方向为前提设立，根据其自身所具备的优势进行整体考核，从基础性应用产品的选择、工业部件的分析和安装、工业运转环境的搭建、工业运转环境的数据采集、数据的交互等多个方面进行。通过基础性应用产品的选择，能对整体工业自动化类别所需产品部件有着极大的熟悉和独特的见解，能实时检验参赛人员对所处环境和环境所需的根本；通过工业部件的分析和安装，除本身对工业部件的熟知外，还能检验参赛人员对工业部件的参数分析和应用环境及搭配的合理性相关能力，同时对部件的安装和维护能力也是必不可少的技能水准提升路径，只有通过学与用的真实有效结合，才能对自身能力有一个更清晰的认识以及符合工业互联网预测性维护人才培养方向和人才规划；通过环境的搭建、数据采集及交互，在工业智能制造中，能极大节约维护时间和降低维护成本，同时能训练选手对工业互联网预测性维护的认识理解及对大数据分析能力，同时对中国智能制造有着更加清晰的认识；通过不同环节的训练，能更快使参赛人员尽可能地适应未来工作岗位的需要，为预测性维护相关工作岗位和实习就业奠定坚实的基础。</w:t>
      </w:r>
    </w:p>
    <w:p/>
    <w:p>
      <w:pPr>
        <w:pStyle w:val="5"/>
        <w:spacing w:before="5"/>
        <w:ind w:left="0"/>
        <w:rPr>
          <w:color w:val="0D0D0D"/>
        </w:rPr>
      </w:pPr>
      <w:r>
        <w:rPr>
          <w:color w:val="0D0D0D"/>
        </w:rPr>
        <w:t>（一）相关文件</w:t>
      </w:r>
    </w:p>
    <w:p>
      <w:pPr>
        <w:pStyle w:val="3"/>
        <w:spacing w:before="158" w:line="364" w:lineRule="auto"/>
        <w:ind w:left="0" w:right="220" w:firstLineChars="200"/>
        <w:jc w:val="both"/>
        <w:rPr>
          <w:shd w:val="clear" w:color="auto" w:fill="FFFF00"/>
          <w:lang w:val="en-US"/>
        </w:rPr>
      </w:pPr>
      <w:r>
        <w:rPr>
          <w:rFonts w:hint="eastAsia"/>
        </w:rPr>
        <w:t>本项目技术文件只包含该竞赛项目中和技术工作有关的信息。除阅读本文件外，还需配合其他相关文件一同使用，如《2020年全国职业院校技能大赛改革试点赛实施方案》。</w:t>
      </w:r>
    </w:p>
    <w:p>
      <w:pPr>
        <w:pStyle w:val="5"/>
        <w:spacing w:before="5" w:line="360" w:lineRule="auto"/>
        <w:ind w:left="0"/>
      </w:pPr>
      <w:r>
        <w:rPr>
          <w:color w:val="0D0D0D"/>
        </w:rPr>
        <w:t>（二）选手需具备的能力</w:t>
      </w:r>
    </w:p>
    <w:p>
      <w:pPr>
        <w:spacing w:line="360" w:lineRule="auto"/>
        <w:ind w:firstLine="480" w:firstLineChars="200"/>
        <w:rPr>
          <w:sz w:val="24"/>
          <w:szCs w:val="24"/>
        </w:rPr>
      </w:pPr>
      <w:r>
        <w:rPr>
          <w:rFonts w:hint="eastAsia"/>
          <w:sz w:val="24"/>
          <w:szCs w:val="24"/>
          <w:lang w:val="en-US"/>
        </w:rPr>
        <w:t>本赛项</w:t>
      </w:r>
      <w:r>
        <w:rPr>
          <w:rFonts w:hint="eastAsia"/>
          <w:sz w:val="24"/>
          <w:szCs w:val="24"/>
        </w:rPr>
        <w:t>围绕行业核心岗位群的知识、能力、素质要求，并考虑未来工业互联网应用新技术、新标准、新规范的发展趋势，设计竞赛内容。</w:t>
      </w:r>
    </w:p>
    <w:p>
      <w:pPr>
        <w:spacing w:line="360" w:lineRule="auto"/>
        <w:ind w:firstLine="480" w:firstLineChars="200"/>
        <w:rPr>
          <w:sz w:val="24"/>
          <w:szCs w:val="24"/>
          <w:lang w:val="en-US"/>
        </w:rPr>
      </w:pPr>
      <w:r>
        <w:rPr>
          <w:rFonts w:hint="eastAsia"/>
          <w:sz w:val="24"/>
          <w:szCs w:val="24"/>
          <w:lang w:val="en-US"/>
        </w:rPr>
        <w:t>通过分析工业互联网预测性维护相关工种的知识、能力、素质要求，以及新技术发展趋势，赛项设计</w:t>
      </w:r>
      <w:r>
        <w:rPr>
          <w:rFonts w:hint="eastAsia"/>
          <w:color w:val="000000"/>
          <w:sz w:val="22"/>
          <w:szCs w:val="22"/>
          <w:lang w:val="en-US" w:bidi="ar-SA"/>
        </w:rPr>
        <w:t>以</w:t>
      </w:r>
      <w:r>
        <w:rPr>
          <w:rFonts w:hint="eastAsia" w:ascii="仿宋" w:hAnsi="仿宋" w:eastAsia="仿宋"/>
          <w:color w:val="000000"/>
          <w:sz w:val="22"/>
          <w:szCs w:val="22"/>
          <w:lang w:val="en-US" w:bidi="ar-SA"/>
        </w:rPr>
        <w:t>《关于在院校实施“学历证书+若干职业技能等级证书”制度试点方案》</w:t>
      </w:r>
      <w:r>
        <w:rPr>
          <w:rFonts w:hint="eastAsia"/>
          <w:color w:val="000000"/>
          <w:sz w:val="22"/>
          <w:szCs w:val="22"/>
          <w:lang w:val="en-US" w:bidi="ar-SA"/>
        </w:rPr>
        <w:t>和</w:t>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工业和信息化部办公厅关于推动工业互联网加快发展的通知</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rPr>
          <w:rFonts w:hint="eastAsia"/>
          <w:sz w:val="24"/>
          <w:szCs w:val="24"/>
          <w:lang w:val="en-US"/>
        </w:rPr>
        <w:t>为背景，结合当前“工业互联网”</w:t>
      </w:r>
      <w:r>
        <w:rPr>
          <w:rFonts w:hint="eastAsia"/>
          <w:sz w:val="24"/>
          <w:szCs w:val="24"/>
          <w:lang w:val="en-US" w:eastAsia="zh-CN"/>
        </w:rPr>
        <w:t>典型应用场景</w:t>
      </w:r>
      <w:r>
        <w:rPr>
          <w:rFonts w:hint="eastAsia"/>
          <w:sz w:val="24"/>
          <w:szCs w:val="24"/>
          <w:shd w:val="clear" w:color="auto" w:fill="auto"/>
          <w:lang w:val="en-US"/>
        </w:rPr>
        <w:t>，将工业互联网预测性维护相关技能技术结合起来、鼓励参赛选手根据预</w:t>
      </w:r>
      <w:r>
        <w:rPr>
          <w:rFonts w:hint="eastAsia"/>
          <w:sz w:val="24"/>
          <w:szCs w:val="24"/>
          <w:lang w:val="en-US"/>
        </w:rPr>
        <w:t>测性维护的相关原理和模式，</w:t>
      </w:r>
      <w:r>
        <w:rPr>
          <w:rFonts w:hint="eastAsia"/>
          <w:sz w:val="24"/>
          <w:szCs w:val="24"/>
          <w:highlight w:val="none"/>
          <w:shd w:val="clear" w:color="auto" w:fill="auto"/>
          <w:lang w:val="en-US"/>
        </w:rPr>
        <w:t>对其</w:t>
      </w:r>
      <w:r>
        <w:rPr>
          <w:rFonts w:hint="eastAsia"/>
          <w:sz w:val="24"/>
          <w:szCs w:val="24"/>
          <w:highlight w:val="none"/>
          <w:shd w:val="clear" w:color="auto" w:fill="auto"/>
          <w:lang w:val="en-US" w:eastAsia="zh-CN"/>
        </w:rPr>
        <w:t>所涉及到的</w:t>
      </w:r>
      <w:r>
        <w:rPr>
          <w:rFonts w:hint="eastAsia"/>
          <w:sz w:val="24"/>
          <w:szCs w:val="24"/>
          <w:highlight w:val="none"/>
          <w:lang w:val="en-US" w:eastAsia="zh-CN"/>
        </w:rPr>
        <w:t>核心装置及产线进行预测性维护</w:t>
      </w:r>
      <w:r>
        <w:rPr>
          <w:rFonts w:hint="eastAsia"/>
          <w:sz w:val="24"/>
          <w:szCs w:val="24"/>
          <w:lang w:val="en-US"/>
        </w:rPr>
        <w:t>。充分发挥参赛选手的创意创新和动手分析能力。考查参赛选手构思、设计、实施和维护的项目全流程能力：以项目为基础，针对预测性维护产业人才需求特点，要求参赛选手对</w:t>
      </w:r>
      <w:r>
        <w:rPr>
          <w:rFonts w:hint="eastAsia"/>
          <w:sz w:val="24"/>
          <w:szCs w:val="24"/>
          <w:highlight w:val="none"/>
          <w:lang w:val="en-US"/>
        </w:rPr>
        <w:t>工业自动化及相关应用</w:t>
      </w:r>
      <w:r>
        <w:rPr>
          <w:rFonts w:hint="eastAsia"/>
          <w:sz w:val="24"/>
          <w:szCs w:val="24"/>
          <w:highlight w:val="none"/>
          <w:lang w:val="en-US" w:eastAsia="zh-CN"/>
        </w:rPr>
        <w:t>装置</w:t>
      </w:r>
      <w:r>
        <w:rPr>
          <w:rFonts w:hint="eastAsia"/>
          <w:sz w:val="24"/>
          <w:szCs w:val="24"/>
          <w:highlight w:val="none"/>
          <w:lang w:val="en-US"/>
        </w:rPr>
        <w:t>有敏锐的嗅觉和一定的构思设计能力，重点考查参赛选手的产品的应用、搭建、设计开发、测试和运营、再创新等能力</w:t>
      </w:r>
      <w:r>
        <w:rPr>
          <w:rFonts w:hint="eastAsia"/>
          <w:sz w:val="24"/>
          <w:szCs w:val="24"/>
          <w:lang w:val="en-US"/>
        </w:rPr>
        <w:t>。</w:t>
      </w: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pStyle w:val="2"/>
        <w:ind w:firstLine="240"/>
        <w:rPr>
          <w:highlight w:val="yellow"/>
        </w:rPr>
      </w:pPr>
    </w:p>
    <w:p>
      <w:pPr>
        <w:spacing w:line="360" w:lineRule="auto"/>
        <w:jc w:val="center"/>
        <w:rPr>
          <w:sz w:val="24"/>
          <w:szCs w:val="24"/>
          <w:lang w:val="en-US"/>
        </w:rPr>
      </w:pPr>
      <w:r>
        <w:rPr>
          <w:sz w:val="24"/>
          <w:szCs w:val="24"/>
          <w:lang w:val="en-US"/>
        </w:rPr>
        <w:t>表 1 参赛选手应具备的知识和技能</w:t>
      </w:r>
    </w:p>
    <w:tbl>
      <w:tblPr>
        <w:tblStyle w:val="12"/>
        <w:tblpPr w:leftFromText="180" w:rightFromText="180" w:vertAnchor="text" w:horzAnchor="page" w:tblpX="1584" w:tblpY="332"/>
        <w:tblOverlap w:val="never"/>
        <w:tblW w:w="9367" w:type="dxa"/>
        <w:tblInd w:w="0" w:type="dxa"/>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Layout w:type="fixed"/>
        <w:tblCellMar>
          <w:top w:w="0" w:type="dxa"/>
          <w:left w:w="0" w:type="dxa"/>
          <w:bottom w:w="0" w:type="dxa"/>
          <w:right w:w="0" w:type="dxa"/>
        </w:tblCellMar>
      </w:tblPr>
      <w:tblGrid>
        <w:gridCol w:w="547"/>
        <w:gridCol w:w="7100"/>
        <w:gridCol w:w="1720"/>
      </w:tblGrid>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479" w:hRule="atLeast"/>
        </w:trPr>
        <w:tc>
          <w:tcPr>
            <w:tcW w:w="7647" w:type="dxa"/>
            <w:gridSpan w:val="2"/>
            <w:vAlign w:val="center"/>
          </w:tcPr>
          <w:p>
            <w:pPr>
              <w:pStyle w:val="17"/>
              <w:spacing w:before="62"/>
              <w:ind w:right="3292"/>
              <w:jc w:val="center"/>
              <w:rPr>
                <w:rFonts w:ascii="黑体" w:eastAsia="黑体"/>
                <w:sz w:val="24"/>
              </w:rPr>
            </w:pPr>
            <w:r>
              <w:rPr>
                <w:rFonts w:hint="eastAsia" w:ascii="黑体" w:eastAsia="黑体"/>
                <w:color w:val="0D0D0D"/>
                <w:sz w:val="24"/>
              </w:rPr>
              <w:t xml:space="preserve"> </w:t>
            </w:r>
            <w:r>
              <w:rPr>
                <w:rFonts w:ascii="黑体" w:eastAsia="黑体"/>
                <w:color w:val="0D0D0D"/>
                <w:sz w:val="24"/>
              </w:rPr>
              <w:t xml:space="preserve">                           </w:t>
            </w:r>
            <w:r>
              <w:rPr>
                <w:rFonts w:hint="eastAsia" w:ascii="黑体" w:eastAsia="黑体"/>
                <w:color w:val="0D0D0D"/>
                <w:sz w:val="24"/>
              </w:rPr>
              <w:t xml:space="preserve">项 </w:t>
            </w:r>
            <w:r>
              <w:rPr>
                <w:rFonts w:ascii="黑体" w:eastAsia="黑体"/>
                <w:color w:val="0D0D0D"/>
                <w:sz w:val="24"/>
              </w:rPr>
              <w:t xml:space="preserve"> </w:t>
            </w:r>
            <w:r>
              <w:rPr>
                <w:rFonts w:hint="eastAsia" w:ascii="黑体" w:eastAsia="黑体"/>
                <w:color w:val="0D0D0D"/>
                <w:sz w:val="24"/>
              </w:rPr>
              <w:t>目</w:t>
            </w:r>
          </w:p>
        </w:tc>
        <w:tc>
          <w:tcPr>
            <w:tcW w:w="1720" w:type="dxa"/>
            <w:vAlign w:val="center"/>
          </w:tcPr>
          <w:p>
            <w:pPr>
              <w:pStyle w:val="17"/>
              <w:spacing w:before="62"/>
              <w:jc w:val="center"/>
              <w:rPr>
                <w:rFonts w:ascii="Times New Roman" w:eastAsia="Times New Roman"/>
                <w:sz w:val="24"/>
              </w:rPr>
            </w:pPr>
            <w:r>
              <w:rPr>
                <w:rFonts w:hint="eastAsia" w:ascii="黑体" w:eastAsia="黑体"/>
                <w:color w:val="0D0D0D"/>
                <w:sz w:val="24"/>
              </w:rPr>
              <w:t>相关重要性</w:t>
            </w:r>
            <w:r>
              <w:rPr>
                <w:rFonts w:ascii="Times New Roman" w:eastAsia="Times New Roman"/>
                <w:color w:val="0D0D0D"/>
                <w:sz w:val="24"/>
              </w:rPr>
              <w:t>(%)</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22" w:hRule="atLeast"/>
        </w:trPr>
        <w:tc>
          <w:tcPr>
            <w:tcW w:w="547" w:type="dxa"/>
            <w:shd w:val="clear" w:color="auto" w:fill="C5D9EF"/>
            <w:vAlign w:val="center"/>
          </w:tcPr>
          <w:p>
            <w:pPr>
              <w:pStyle w:val="17"/>
              <w:spacing w:before="78"/>
              <w:jc w:val="center"/>
              <w:rPr>
                <w:b/>
                <w:sz w:val="24"/>
                <w:szCs w:val="24"/>
              </w:rPr>
            </w:pPr>
            <w:r>
              <w:rPr>
                <w:rFonts w:hint="eastAsia"/>
                <w:b/>
                <w:color w:val="0D0D0D"/>
                <w:w w:val="95"/>
                <w:sz w:val="24"/>
                <w:szCs w:val="24"/>
              </w:rPr>
              <w:t>1</w:t>
            </w:r>
          </w:p>
        </w:tc>
        <w:tc>
          <w:tcPr>
            <w:tcW w:w="7100" w:type="dxa"/>
            <w:shd w:val="clear" w:color="auto" w:fill="C5D9EF"/>
            <w:vAlign w:val="center"/>
          </w:tcPr>
          <w:p>
            <w:pPr>
              <w:pStyle w:val="17"/>
              <w:spacing w:before="62"/>
              <w:ind w:right="1928"/>
              <w:jc w:val="both"/>
              <w:rPr>
                <w:b/>
                <w:sz w:val="24"/>
                <w:szCs w:val="24"/>
              </w:rPr>
            </w:pPr>
            <w:r>
              <w:rPr>
                <w:rFonts w:hint="eastAsia"/>
                <w:b/>
                <w:color w:val="0D0D0D"/>
                <w:sz w:val="24"/>
                <w:szCs w:val="24"/>
              </w:rPr>
              <w:t>工作组织与管理</w:t>
            </w:r>
          </w:p>
        </w:tc>
        <w:tc>
          <w:tcPr>
            <w:tcW w:w="1720" w:type="dxa"/>
            <w:shd w:val="clear" w:color="auto" w:fill="C5D9EF"/>
            <w:vAlign w:val="center"/>
          </w:tcPr>
          <w:p>
            <w:pPr>
              <w:pStyle w:val="17"/>
              <w:spacing w:before="155"/>
              <w:jc w:val="center"/>
              <w:rPr>
                <w:b/>
                <w:sz w:val="24"/>
                <w:szCs w:val="24"/>
              </w:rPr>
            </w:pPr>
            <w:r>
              <w:rPr>
                <w:rFonts w:hint="eastAsia"/>
                <w:b/>
                <w:color w:val="0D0D0D"/>
                <w:w w:val="95"/>
                <w:sz w:val="24"/>
                <w:szCs w:val="24"/>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3337" w:hRule="atLeast"/>
        </w:trPr>
        <w:tc>
          <w:tcPr>
            <w:tcW w:w="547" w:type="dxa"/>
            <w:vAlign w:val="center"/>
          </w:tcPr>
          <w:p>
            <w:pPr>
              <w:pStyle w:val="17"/>
              <w:jc w:val="center"/>
              <w:rPr>
                <w:sz w:val="24"/>
                <w:szCs w:val="24"/>
              </w:rPr>
            </w:pPr>
          </w:p>
        </w:tc>
        <w:tc>
          <w:tcPr>
            <w:tcW w:w="7100" w:type="dxa"/>
            <w:vAlign w:val="center"/>
          </w:tcPr>
          <w:p>
            <w:pPr>
              <w:pStyle w:val="17"/>
              <w:spacing w:before="91" w:line="312" w:lineRule="auto"/>
              <w:ind w:right="3441"/>
              <w:jc w:val="both"/>
              <w:rPr>
                <w:sz w:val="24"/>
                <w:szCs w:val="24"/>
              </w:rPr>
            </w:pPr>
            <w:r>
              <w:rPr>
                <w:rFonts w:hint="eastAsia"/>
                <w:color w:val="0D0D0D"/>
                <w:sz w:val="24"/>
                <w:szCs w:val="24"/>
              </w:rPr>
              <w:t>有关安全工作的原则、法规和标准个人职业素养和道德标准的重要性对于工作过程进行自我评估</w:t>
            </w:r>
          </w:p>
          <w:p>
            <w:pPr>
              <w:pStyle w:val="17"/>
              <w:spacing w:before="1"/>
              <w:jc w:val="both"/>
              <w:rPr>
                <w:sz w:val="24"/>
                <w:szCs w:val="24"/>
              </w:rPr>
            </w:pPr>
            <w:r>
              <w:rPr>
                <w:rFonts w:hint="eastAsia"/>
                <w:color w:val="0D0D0D"/>
                <w:sz w:val="24"/>
                <w:szCs w:val="24"/>
              </w:rPr>
              <w:t>填补与工作相关的个人专业知识空白</w:t>
            </w:r>
          </w:p>
          <w:p>
            <w:pPr>
              <w:pStyle w:val="17"/>
              <w:spacing w:line="312" w:lineRule="auto"/>
              <w:ind w:right="40"/>
              <w:jc w:val="both"/>
              <w:rPr>
                <w:sz w:val="24"/>
                <w:szCs w:val="24"/>
              </w:rPr>
            </w:pPr>
            <w:r>
              <w:rPr>
                <w:rFonts w:hint="eastAsia"/>
                <w:color w:val="0D0D0D"/>
                <w:sz w:val="24"/>
                <w:szCs w:val="24"/>
              </w:rPr>
              <w:t>设备、材料、使用、存储和维护方面的良好做法工作计划、日程安排和优先级处理的方法</w:t>
            </w:r>
          </w:p>
          <w:p>
            <w:pPr>
              <w:pStyle w:val="17"/>
              <w:jc w:val="both"/>
              <w:rPr>
                <w:sz w:val="24"/>
                <w:szCs w:val="24"/>
              </w:rPr>
            </w:pPr>
            <w:r>
              <w:rPr>
                <w:rFonts w:hint="eastAsia"/>
                <w:color w:val="0D0D0D"/>
                <w:sz w:val="24"/>
                <w:szCs w:val="24"/>
              </w:rPr>
              <w:t>有条理的工作的重要性，包括对细节、准确性和检查的重视</w:t>
            </w:r>
          </w:p>
          <w:p>
            <w:pPr>
              <w:pStyle w:val="17"/>
              <w:spacing w:before="89" w:line="296" w:lineRule="exact"/>
              <w:jc w:val="both"/>
              <w:rPr>
                <w:sz w:val="24"/>
                <w:szCs w:val="24"/>
              </w:rPr>
            </w:pPr>
            <w:r>
              <w:rPr>
                <w:rFonts w:hint="eastAsia"/>
                <w:color w:val="0D0D0D"/>
                <w:sz w:val="24"/>
                <w:szCs w:val="24"/>
              </w:rPr>
              <w:t>做专业发展规划对个人成长的重要性</w:t>
            </w:r>
          </w:p>
        </w:tc>
        <w:tc>
          <w:tcPr>
            <w:tcW w:w="1720" w:type="dxa"/>
            <w:vAlign w:val="center"/>
          </w:tcPr>
          <w:p>
            <w:pPr>
              <w:pStyle w:val="17"/>
              <w:jc w:val="center"/>
              <w:rPr>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176" w:hRule="atLeast"/>
        </w:trPr>
        <w:tc>
          <w:tcPr>
            <w:tcW w:w="547" w:type="dxa"/>
            <w:vAlign w:val="center"/>
          </w:tcPr>
          <w:p>
            <w:pPr>
              <w:pStyle w:val="17"/>
              <w:jc w:val="center"/>
              <w:rPr>
                <w:sz w:val="24"/>
                <w:szCs w:val="24"/>
              </w:rPr>
            </w:pPr>
          </w:p>
        </w:tc>
        <w:tc>
          <w:tcPr>
            <w:tcW w:w="7100" w:type="dxa"/>
            <w:vAlign w:val="center"/>
          </w:tcPr>
          <w:p>
            <w:pPr>
              <w:pStyle w:val="17"/>
              <w:spacing w:before="96" w:line="297" w:lineRule="exact"/>
              <w:jc w:val="both"/>
              <w:rPr>
                <w:color w:val="0D0D0D"/>
                <w:sz w:val="24"/>
                <w:szCs w:val="24"/>
              </w:rPr>
            </w:pPr>
            <w:r>
              <w:rPr>
                <w:rFonts w:hint="eastAsia"/>
                <w:color w:val="0D0D0D"/>
                <w:sz w:val="24"/>
                <w:szCs w:val="24"/>
              </w:rPr>
              <w:t>组织并维护安全高效的工作空间</w:t>
            </w:r>
          </w:p>
          <w:p>
            <w:pPr>
              <w:pStyle w:val="17"/>
              <w:spacing w:before="81"/>
              <w:jc w:val="both"/>
              <w:rPr>
                <w:sz w:val="24"/>
                <w:szCs w:val="24"/>
              </w:rPr>
            </w:pPr>
            <w:r>
              <w:rPr>
                <w:rFonts w:hint="eastAsia"/>
                <w:color w:val="0D0D0D"/>
                <w:sz w:val="24"/>
                <w:szCs w:val="24"/>
              </w:rPr>
              <w:t>始终保持系统、数据、信息和文档的完整性和机密性</w:t>
            </w:r>
          </w:p>
          <w:p>
            <w:pPr>
              <w:pStyle w:val="17"/>
              <w:spacing w:before="95"/>
              <w:jc w:val="both"/>
              <w:rPr>
                <w:sz w:val="24"/>
                <w:szCs w:val="24"/>
              </w:rPr>
            </w:pPr>
            <w:r>
              <w:rPr>
                <w:rFonts w:hint="eastAsia"/>
                <w:color w:val="0D0D0D"/>
                <w:sz w:val="24"/>
                <w:szCs w:val="24"/>
              </w:rPr>
              <w:t>规划个人专业发展，不断提高个人专业能力</w:t>
            </w:r>
          </w:p>
          <w:p>
            <w:pPr>
              <w:pStyle w:val="17"/>
              <w:spacing w:before="96" w:line="297" w:lineRule="exact"/>
              <w:jc w:val="both"/>
              <w:rPr>
                <w:color w:val="0D0D0D"/>
                <w:sz w:val="24"/>
                <w:szCs w:val="24"/>
              </w:rPr>
            </w:pPr>
            <w:r>
              <w:rPr>
                <w:rFonts w:hint="eastAsia"/>
                <w:color w:val="0D0D0D"/>
                <w:sz w:val="24"/>
                <w:szCs w:val="24"/>
              </w:rPr>
              <w:t>按照“优先顺序”制定工作计划，确保工作有条不紊进行提供专业的客户满意的解决方案</w:t>
            </w:r>
          </w:p>
        </w:tc>
        <w:tc>
          <w:tcPr>
            <w:tcW w:w="1720" w:type="dxa"/>
            <w:vAlign w:val="center"/>
          </w:tcPr>
          <w:p>
            <w:pPr>
              <w:pStyle w:val="17"/>
              <w:jc w:val="center"/>
              <w:rPr>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491" w:hRule="atLeast"/>
        </w:trPr>
        <w:tc>
          <w:tcPr>
            <w:tcW w:w="547"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2</w:t>
            </w:r>
          </w:p>
        </w:tc>
        <w:tc>
          <w:tcPr>
            <w:tcW w:w="7100" w:type="dxa"/>
            <w:shd w:val="clear" w:color="auto" w:fill="8DB3E2"/>
            <w:vAlign w:val="center"/>
          </w:tcPr>
          <w:p>
            <w:pPr>
              <w:pStyle w:val="17"/>
              <w:spacing w:before="4" w:line="390" w:lineRule="atLeast"/>
              <w:ind w:right="4401"/>
              <w:jc w:val="both"/>
              <w:rPr>
                <w:color w:val="0D0D0D"/>
                <w:sz w:val="24"/>
                <w:szCs w:val="24"/>
                <w:lang w:val="en-US"/>
              </w:rPr>
            </w:pPr>
            <w:r>
              <w:rPr>
                <w:rFonts w:hint="eastAsia"/>
                <w:sz w:val="24"/>
                <w:szCs w:val="24"/>
              </w:rPr>
              <w:t>机械安装</w:t>
            </w:r>
            <w:r>
              <w:rPr>
                <w:rFonts w:hint="eastAsia"/>
                <w:sz w:val="24"/>
                <w:szCs w:val="24"/>
                <w:lang w:val="en-US"/>
              </w:rPr>
              <w:t>与调试技能</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429" w:hRule="atLeast"/>
        </w:trPr>
        <w:tc>
          <w:tcPr>
            <w:tcW w:w="547" w:type="dxa"/>
            <w:vAlign w:val="center"/>
          </w:tcPr>
          <w:p>
            <w:pPr>
              <w:pStyle w:val="17"/>
              <w:spacing w:before="78"/>
              <w:jc w:val="center"/>
              <w:rPr>
                <w:b/>
                <w:color w:val="0D0D0D"/>
                <w:w w:val="95"/>
                <w:sz w:val="24"/>
                <w:szCs w:val="24"/>
              </w:rPr>
            </w:pPr>
          </w:p>
        </w:tc>
        <w:tc>
          <w:tcPr>
            <w:tcW w:w="7100" w:type="dxa"/>
            <w:vAlign w:val="center"/>
          </w:tcPr>
          <w:p>
            <w:pPr>
              <w:pStyle w:val="17"/>
              <w:spacing w:before="81"/>
              <w:jc w:val="both"/>
              <w:rPr>
                <w:color w:val="0D0D0D"/>
                <w:sz w:val="24"/>
                <w:szCs w:val="24"/>
              </w:rPr>
            </w:pPr>
            <w:r>
              <w:rPr>
                <w:rFonts w:hint="eastAsia"/>
                <w:color w:val="0D0D0D"/>
                <w:sz w:val="24"/>
                <w:szCs w:val="24"/>
              </w:rPr>
              <w:t>通晓机械设备安装知识</w:t>
            </w:r>
          </w:p>
          <w:p>
            <w:pPr>
              <w:pStyle w:val="17"/>
              <w:spacing w:before="81"/>
              <w:jc w:val="both"/>
              <w:rPr>
                <w:color w:val="0D0D0D"/>
                <w:sz w:val="24"/>
                <w:szCs w:val="24"/>
              </w:rPr>
            </w:pPr>
            <w:r>
              <w:rPr>
                <w:rFonts w:hint="eastAsia"/>
                <w:color w:val="0D0D0D"/>
                <w:sz w:val="24"/>
                <w:szCs w:val="24"/>
              </w:rPr>
              <w:t>了解电气和设备加工方面知识</w:t>
            </w:r>
          </w:p>
          <w:p>
            <w:pPr>
              <w:pStyle w:val="17"/>
              <w:spacing w:before="81"/>
              <w:jc w:val="both"/>
              <w:rPr>
                <w:color w:val="0D0D0D"/>
                <w:sz w:val="24"/>
                <w:szCs w:val="24"/>
              </w:rPr>
            </w:pPr>
            <w:r>
              <w:rPr>
                <w:rFonts w:hint="eastAsia"/>
                <w:color w:val="0D0D0D"/>
                <w:sz w:val="24"/>
                <w:szCs w:val="24"/>
              </w:rPr>
              <w:t>熟练应用各种量具测量工件</w:t>
            </w:r>
          </w:p>
          <w:p>
            <w:pPr>
              <w:pStyle w:val="17"/>
              <w:spacing w:before="4" w:line="390" w:lineRule="atLeast"/>
              <w:ind w:right="40"/>
              <w:jc w:val="both"/>
              <w:rPr>
                <w:color w:val="0D0D0D"/>
                <w:sz w:val="24"/>
                <w:szCs w:val="24"/>
              </w:rPr>
            </w:pPr>
            <w:r>
              <w:rPr>
                <w:rFonts w:hint="eastAsia"/>
                <w:color w:val="0D0D0D"/>
                <w:sz w:val="24"/>
                <w:szCs w:val="24"/>
              </w:rPr>
              <w:t>具备较强的现场动手能力、学习能力、语言表达能力、沟通能力</w:t>
            </w:r>
          </w:p>
          <w:p>
            <w:pPr>
              <w:pStyle w:val="17"/>
              <w:spacing w:before="4" w:line="390" w:lineRule="atLeast"/>
              <w:ind w:right="40"/>
              <w:jc w:val="both"/>
              <w:rPr>
                <w:color w:val="333333"/>
                <w:sz w:val="24"/>
                <w:szCs w:val="24"/>
                <w:shd w:val="clear" w:color="auto" w:fill="FFFFFF"/>
              </w:rPr>
            </w:pPr>
            <w:r>
              <w:rPr>
                <w:rFonts w:hint="eastAsia"/>
                <w:color w:val="0D0D0D"/>
                <w:sz w:val="24"/>
                <w:szCs w:val="24"/>
              </w:rPr>
              <w:t>具备良好的团队合作精神</w:t>
            </w:r>
          </w:p>
        </w:tc>
        <w:tc>
          <w:tcPr>
            <w:tcW w:w="1720" w:type="dxa"/>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631" w:hRule="atLeast"/>
        </w:trPr>
        <w:tc>
          <w:tcPr>
            <w:tcW w:w="547"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3</w:t>
            </w:r>
          </w:p>
        </w:tc>
        <w:tc>
          <w:tcPr>
            <w:tcW w:w="7100" w:type="dxa"/>
            <w:shd w:val="clear" w:color="auto" w:fill="8DB3E2"/>
            <w:vAlign w:val="center"/>
          </w:tcPr>
          <w:p>
            <w:pPr>
              <w:pStyle w:val="17"/>
              <w:spacing w:before="78"/>
              <w:jc w:val="both"/>
              <w:rPr>
                <w:color w:val="0D0D0D"/>
                <w:sz w:val="24"/>
                <w:szCs w:val="24"/>
              </w:rPr>
            </w:pPr>
            <w:r>
              <w:rPr>
                <w:rFonts w:hint="eastAsia"/>
                <w:bCs/>
                <w:color w:val="0D0D0D"/>
                <w:w w:val="95"/>
                <w:sz w:val="24"/>
                <w:szCs w:val="24"/>
              </w:rPr>
              <w:t>电气安装</w:t>
            </w:r>
            <w:r>
              <w:rPr>
                <w:rFonts w:hint="eastAsia"/>
                <w:bCs/>
                <w:color w:val="0D0D0D"/>
                <w:w w:val="95"/>
                <w:sz w:val="24"/>
                <w:szCs w:val="24"/>
                <w:lang w:val="en-US"/>
              </w:rPr>
              <w:t>与</w:t>
            </w:r>
            <w:r>
              <w:rPr>
                <w:rFonts w:hint="eastAsia"/>
                <w:bCs/>
                <w:color w:val="0D0D0D"/>
                <w:w w:val="95"/>
                <w:sz w:val="24"/>
                <w:szCs w:val="24"/>
              </w:rPr>
              <w:t>调试</w:t>
            </w:r>
            <w:r>
              <w:rPr>
                <w:rFonts w:hint="eastAsia"/>
                <w:bCs/>
                <w:color w:val="0D0D0D"/>
                <w:w w:val="95"/>
                <w:sz w:val="24"/>
                <w:szCs w:val="24"/>
                <w:lang w:val="en-US"/>
              </w:rPr>
              <w:t>技能</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184" w:hRule="atLeast"/>
        </w:trPr>
        <w:tc>
          <w:tcPr>
            <w:tcW w:w="547" w:type="dxa"/>
            <w:vAlign w:val="center"/>
          </w:tcPr>
          <w:p>
            <w:pPr>
              <w:pStyle w:val="17"/>
              <w:spacing w:before="78"/>
              <w:jc w:val="center"/>
              <w:rPr>
                <w:b/>
                <w:color w:val="0D0D0D"/>
                <w:w w:val="95"/>
                <w:sz w:val="24"/>
                <w:szCs w:val="24"/>
              </w:rPr>
            </w:pPr>
          </w:p>
        </w:tc>
        <w:tc>
          <w:tcPr>
            <w:tcW w:w="7100" w:type="dxa"/>
            <w:vAlign w:val="center"/>
          </w:tcPr>
          <w:p>
            <w:pPr>
              <w:pStyle w:val="17"/>
              <w:spacing w:before="4" w:line="390" w:lineRule="atLeast"/>
              <w:ind w:right="40"/>
              <w:jc w:val="both"/>
              <w:rPr>
                <w:color w:val="0D0D0D"/>
                <w:sz w:val="24"/>
                <w:szCs w:val="24"/>
                <w:lang w:val="en-US"/>
              </w:rPr>
            </w:pPr>
            <w:r>
              <w:rPr>
                <w:rFonts w:hint="eastAsia"/>
                <w:color w:val="0D0D0D"/>
                <w:sz w:val="24"/>
                <w:szCs w:val="24"/>
                <w:lang w:val="en-US"/>
              </w:rPr>
              <w:t>通晓电气安装知识，认识电气设备的核心部件</w:t>
            </w:r>
          </w:p>
          <w:p>
            <w:pPr>
              <w:pStyle w:val="17"/>
              <w:spacing w:before="4" w:line="390" w:lineRule="atLeast"/>
              <w:ind w:right="40"/>
              <w:jc w:val="both"/>
              <w:rPr>
                <w:color w:val="0D0D0D"/>
                <w:sz w:val="24"/>
                <w:szCs w:val="24"/>
                <w:lang w:val="en-US"/>
              </w:rPr>
            </w:pPr>
            <w:r>
              <w:rPr>
                <w:rFonts w:hint="eastAsia"/>
                <w:color w:val="0D0D0D"/>
                <w:sz w:val="24"/>
                <w:szCs w:val="24"/>
                <w:lang w:val="en-US"/>
              </w:rPr>
              <w:t>了解电气控制系统的设计原理、生产工艺和要求达到的各项指标</w:t>
            </w:r>
          </w:p>
          <w:p>
            <w:pPr>
              <w:pStyle w:val="17"/>
              <w:spacing w:before="81"/>
              <w:jc w:val="both"/>
              <w:rPr>
                <w:color w:val="0D0D0D"/>
                <w:sz w:val="24"/>
                <w:szCs w:val="24"/>
                <w:lang w:val="en-US"/>
              </w:rPr>
            </w:pPr>
            <w:r>
              <w:rPr>
                <w:rFonts w:hint="eastAsia"/>
                <w:color w:val="0D0D0D"/>
                <w:sz w:val="24"/>
                <w:szCs w:val="24"/>
                <w:lang w:val="en-US"/>
              </w:rPr>
              <w:t>具有电工方面、</w:t>
            </w:r>
            <w:r>
              <w:rPr>
                <w:rFonts w:hint="eastAsia"/>
                <w:color w:val="0D0D0D"/>
                <w:sz w:val="24"/>
                <w:szCs w:val="24"/>
              </w:rPr>
              <w:t>熟练应用各种</w:t>
            </w:r>
            <w:r>
              <w:rPr>
                <w:rFonts w:hint="eastAsia"/>
                <w:color w:val="0D0D0D"/>
                <w:sz w:val="24"/>
                <w:szCs w:val="24"/>
                <w:lang w:val="en-US"/>
              </w:rPr>
              <w:t>电工工具</w:t>
            </w:r>
          </w:p>
          <w:p>
            <w:pPr>
              <w:pStyle w:val="17"/>
              <w:spacing w:before="4" w:line="390" w:lineRule="atLeast"/>
              <w:ind w:right="40"/>
              <w:jc w:val="both"/>
              <w:rPr>
                <w:color w:val="0D0D0D"/>
                <w:sz w:val="24"/>
                <w:szCs w:val="24"/>
              </w:rPr>
            </w:pPr>
            <w:r>
              <w:rPr>
                <w:rFonts w:hint="eastAsia"/>
                <w:color w:val="0D0D0D"/>
                <w:sz w:val="24"/>
                <w:szCs w:val="24"/>
              </w:rPr>
              <w:t>具备较强的现场动手能力、学习能力、语言表达能力、沟通能力</w:t>
            </w:r>
          </w:p>
          <w:p>
            <w:pPr>
              <w:pStyle w:val="17"/>
              <w:spacing w:before="4" w:line="390" w:lineRule="atLeast"/>
              <w:ind w:right="40"/>
              <w:jc w:val="both"/>
              <w:rPr>
                <w:color w:val="0D0D0D"/>
                <w:sz w:val="24"/>
                <w:szCs w:val="24"/>
                <w:lang w:val="en-US"/>
              </w:rPr>
            </w:pPr>
            <w:r>
              <w:rPr>
                <w:rFonts w:hint="eastAsia"/>
                <w:color w:val="0D0D0D"/>
                <w:sz w:val="24"/>
                <w:szCs w:val="24"/>
              </w:rPr>
              <w:t>具备良好的团队合作精神</w:t>
            </w:r>
          </w:p>
        </w:tc>
        <w:tc>
          <w:tcPr>
            <w:tcW w:w="1720" w:type="dxa"/>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657" w:hRule="atLeast"/>
        </w:trPr>
        <w:tc>
          <w:tcPr>
            <w:tcW w:w="547"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4</w:t>
            </w:r>
          </w:p>
        </w:tc>
        <w:tc>
          <w:tcPr>
            <w:tcW w:w="7100" w:type="dxa"/>
            <w:shd w:val="clear" w:color="auto" w:fill="8DB3E2"/>
            <w:vAlign w:val="center"/>
          </w:tcPr>
          <w:p>
            <w:pPr>
              <w:snapToGrid w:val="0"/>
              <w:spacing w:line="360" w:lineRule="auto"/>
              <w:jc w:val="both"/>
              <w:outlineLvl w:val="0"/>
              <w:rPr>
                <w:color w:val="0D0D0D"/>
                <w:sz w:val="24"/>
                <w:szCs w:val="24"/>
              </w:rPr>
            </w:pPr>
            <w:r>
              <w:rPr>
                <w:rFonts w:hint="eastAsia"/>
                <w:color w:val="000000"/>
                <w:sz w:val="24"/>
                <w:szCs w:val="24"/>
              </w:rPr>
              <w:t>气动控制技术</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8</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17"/>
              <w:spacing w:before="78"/>
              <w:jc w:val="center"/>
              <w:rPr>
                <w:b/>
                <w:color w:val="0D0D0D"/>
                <w:w w:val="95"/>
                <w:sz w:val="24"/>
                <w:szCs w:val="24"/>
              </w:rPr>
            </w:pPr>
          </w:p>
        </w:tc>
        <w:tc>
          <w:tcPr>
            <w:tcW w:w="7100" w:type="dxa"/>
            <w:vAlign w:val="center"/>
          </w:tcPr>
          <w:p>
            <w:pPr>
              <w:pStyle w:val="17"/>
              <w:spacing w:before="4" w:line="390" w:lineRule="atLeast"/>
              <w:ind w:right="260"/>
              <w:jc w:val="both"/>
              <w:rPr>
                <w:color w:val="0D0D0D"/>
                <w:sz w:val="24"/>
                <w:szCs w:val="24"/>
                <w:lang w:val="en-US"/>
              </w:rPr>
            </w:pPr>
            <w:r>
              <w:rPr>
                <w:rFonts w:hint="eastAsia"/>
                <w:color w:val="0D0D0D"/>
                <w:sz w:val="24"/>
                <w:szCs w:val="24"/>
                <w:lang w:val="en-US"/>
              </w:rPr>
              <w:t>通晓气压传动基础知识和技术</w:t>
            </w:r>
          </w:p>
          <w:p>
            <w:pPr>
              <w:pStyle w:val="17"/>
              <w:tabs>
                <w:tab w:val="left" w:pos="6820"/>
              </w:tabs>
              <w:spacing w:before="4" w:line="390" w:lineRule="atLeast"/>
              <w:ind w:right="260"/>
              <w:jc w:val="both"/>
              <w:rPr>
                <w:color w:val="0D0D0D"/>
                <w:sz w:val="24"/>
                <w:szCs w:val="24"/>
                <w:lang w:val="en-US"/>
              </w:rPr>
            </w:pPr>
            <w:r>
              <w:rPr>
                <w:rFonts w:hint="eastAsia"/>
                <w:color w:val="0D0D0D"/>
                <w:sz w:val="24"/>
                <w:szCs w:val="24"/>
                <w:lang w:val="en-US"/>
              </w:rPr>
              <w:t>熟悉常用气动元件的工作原理</w:t>
            </w:r>
          </w:p>
          <w:p>
            <w:pPr>
              <w:pStyle w:val="17"/>
              <w:tabs>
                <w:tab w:val="left" w:pos="6820"/>
              </w:tabs>
              <w:spacing w:before="4" w:line="390" w:lineRule="atLeast"/>
              <w:ind w:right="260"/>
              <w:jc w:val="both"/>
              <w:rPr>
                <w:color w:val="0D0D0D"/>
                <w:sz w:val="24"/>
                <w:szCs w:val="24"/>
              </w:rPr>
            </w:pPr>
            <w:r>
              <w:rPr>
                <w:rFonts w:hint="eastAsia"/>
                <w:color w:val="0D0D0D"/>
                <w:sz w:val="24"/>
                <w:szCs w:val="24"/>
              </w:rPr>
              <w:t>具备较强的现场动手能力、学习能力、语言表达能力、沟通能力</w:t>
            </w:r>
          </w:p>
          <w:p>
            <w:pPr>
              <w:pStyle w:val="17"/>
              <w:tabs>
                <w:tab w:val="left" w:pos="6820"/>
              </w:tabs>
              <w:spacing w:before="4" w:line="390" w:lineRule="atLeast"/>
              <w:ind w:right="260"/>
              <w:jc w:val="both"/>
              <w:rPr>
                <w:color w:val="0D0D0D"/>
                <w:sz w:val="24"/>
                <w:szCs w:val="24"/>
                <w:lang w:val="en-US"/>
              </w:rPr>
            </w:pPr>
            <w:r>
              <w:rPr>
                <w:rFonts w:hint="eastAsia"/>
                <w:color w:val="0D0D0D"/>
                <w:sz w:val="24"/>
                <w:szCs w:val="24"/>
              </w:rPr>
              <w:t>良好的团队合作精神</w:t>
            </w:r>
          </w:p>
        </w:tc>
        <w:tc>
          <w:tcPr>
            <w:tcW w:w="1720" w:type="dxa"/>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81" w:hRule="atLeast"/>
        </w:trPr>
        <w:tc>
          <w:tcPr>
            <w:tcW w:w="547"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5</w:t>
            </w:r>
          </w:p>
        </w:tc>
        <w:tc>
          <w:tcPr>
            <w:tcW w:w="7100" w:type="dxa"/>
            <w:shd w:val="clear" w:color="auto" w:fill="8DB3E2"/>
            <w:vAlign w:val="center"/>
          </w:tcPr>
          <w:p>
            <w:pPr>
              <w:snapToGrid w:val="0"/>
              <w:spacing w:line="360" w:lineRule="auto"/>
              <w:jc w:val="both"/>
              <w:outlineLvl w:val="0"/>
              <w:rPr>
                <w:color w:val="0D0D0D"/>
                <w:sz w:val="24"/>
                <w:szCs w:val="24"/>
              </w:rPr>
            </w:pPr>
            <w:r>
              <w:rPr>
                <w:rFonts w:hint="eastAsia"/>
                <w:color w:val="000000"/>
                <w:sz w:val="24"/>
                <w:szCs w:val="24"/>
              </w:rPr>
              <w:t>传感器技术</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10</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17"/>
              <w:spacing w:before="78"/>
              <w:jc w:val="center"/>
              <w:rPr>
                <w:b/>
                <w:color w:val="0D0D0D"/>
                <w:w w:val="95"/>
                <w:sz w:val="24"/>
                <w:szCs w:val="24"/>
              </w:rPr>
            </w:pPr>
          </w:p>
        </w:tc>
        <w:tc>
          <w:tcPr>
            <w:tcW w:w="7100" w:type="dxa"/>
            <w:vAlign w:val="center"/>
          </w:tcPr>
          <w:p>
            <w:pPr>
              <w:pStyle w:val="17"/>
              <w:spacing w:before="81"/>
              <w:jc w:val="both"/>
              <w:rPr>
                <w:color w:val="0D0D0D"/>
                <w:sz w:val="24"/>
                <w:szCs w:val="24"/>
                <w:lang w:val="en-US"/>
              </w:rPr>
            </w:pPr>
            <w:r>
              <w:rPr>
                <w:rFonts w:hint="eastAsia"/>
                <w:color w:val="0D0D0D"/>
                <w:sz w:val="24"/>
                <w:szCs w:val="24"/>
                <w:lang w:val="en-US"/>
              </w:rPr>
              <w:t>认识各类传感器</w:t>
            </w:r>
          </w:p>
          <w:p>
            <w:pPr>
              <w:pStyle w:val="17"/>
              <w:spacing w:before="4" w:line="390" w:lineRule="atLeast"/>
              <w:ind w:right="-180"/>
              <w:jc w:val="both"/>
              <w:rPr>
                <w:color w:val="0D0D0D"/>
                <w:sz w:val="24"/>
                <w:szCs w:val="24"/>
                <w:lang w:val="en-US"/>
              </w:rPr>
            </w:pPr>
            <w:r>
              <w:rPr>
                <w:rFonts w:hint="eastAsia"/>
                <w:color w:val="0D0D0D"/>
                <w:sz w:val="24"/>
                <w:szCs w:val="24"/>
                <w:lang w:val="en-US"/>
              </w:rPr>
              <w:t>了解传感器的工作原理和技术、基本特性</w:t>
            </w:r>
          </w:p>
          <w:p>
            <w:pPr>
              <w:pStyle w:val="17"/>
              <w:spacing w:before="4" w:line="390" w:lineRule="atLeast"/>
              <w:ind w:right="-180"/>
              <w:jc w:val="both"/>
              <w:rPr>
                <w:color w:val="0D0D0D"/>
                <w:sz w:val="24"/>
                <w:szCs w:val="24"/>
              </w:rPr>
            </w:pPr>
            <w:r>
              <w:rPr>
                <w:rFonts w:hint="eastAsia"/>
                <w:color w:val="0D0D0D"/>
                <w:sz w:val="24"/>
                <w:szCs w:val="24"/>
              </w:rPr>
              <w:t>具备较强的现场动手能力、学习能力、语言表达能力、沟通能力</w:t>
            </w:r>
          </w:p>
          <w:p>
            <w:pPr>
              <w:pStyle w:val="17"/>
              <w:spacing w:before="4" w:line="390" w:lineRule="atLeast"/>
              <w:ind w:right="-180"/>
              <w:jc w:val="both"/>
              <w:rPr>
                <w:color w:val="0D0D0D"/>
                <w:sz w:val="24"/>
                <w:szCs w:val="24"/>
                <w:lang w:val="en-US"/>
              </w:rPr>
            </w:pPr>
            <w:r>
              <w:rPr>
                <w:rFonts w:hint="eastAsia"/>
                <w:color w:val="0D0D0D"/>
                <w:sz w:val="24"/>
                <w:szCs w:val="24"/>
              </w:rPr>
              <w:t>具备良好的团队合作精神</w:t>
            </w:r>
          </w:p>
        </w:tc>
        <w:tc>
          <w:tcPr>
            <w:tcW w:w="1720" w:type="dxa"/>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6</w:t>
            </w:r>
          </w:p>
        </w:tc>
        <w:tc>
          <w:tcPr>
            <w:tcW w:w="7100" w:type="dxa"/>
            <w:shd w:val="clear" w:color="auto" w:fill="8DB3E2"/>
            <w:vAlign w:val="center"/>
          </w:tcPr>
          <w:p>
            <w:pPr>
              <w:pStyle w:val="17"/>
              <w:spacing w:before="4" w:line="390" w:lineRule="atLeast"/>
              <w:ind w:right="4401"/>
              <w:jc w:val="both"/>
              <w:rPr>
                <w:color w:val="0D0D0D"/>
                <w:sz w:val="24"/>
                <w:szCs w:val="24"/>
              </w:rPr>
            </w:pPr>
            <w:r>
              <w:rPr>
                <w:rFonts w:hint="eastAsia"/>
                <w:color w:val="000000"/>
                <w:sz w:val="24"/>
                <w:szCs w:val="24"/>
              </w:rPr>
              <w:t>PLC控制及应用</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10</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17"/>
              <w:spacing w:before="78"/>
              <w:jc w:val="center"/>
              <w:rPr>
                <w:b/>
                <w:color w:val="0D0D0D"/>
                <w:w w:val="95"/>
                <w:sz w:val="24"/>
                <w:szCs w:val="24"/>
              </w:rPr>
            </w:pPr>
          </w:p>
        </w:tc>
        <w:tc>
          <w:tcPr>
            <w:tcW w:w="7100" w:type="dxa"/>
            <w:vAlign w:val="center"/>
          </w:tcPr>
          <w:p>
            <w:pPr>
              <w:pStyle w:val="17"/>
              <w:spacing w:before="4" w:line="390" w:lineRule="atLeast"/>
              <w:ind w:right="40"/>
              <w:jc w:val="both"/>
              <w:rPr>
                <w:color w:val="0D0D0D"/>
                <w:sz w:val="24"/>
                <w:szCs w:val="24"/>
                <w:lang w:val="en-US"/>
              </w:rPr>
            </w:pPr>
            <w:r>
              <w:rPr>
                <w:rFonts w:hint="eastAsia"/>
                <w:color w:val="0D0D0D"/>
                <w:sz w:val="24"/>
                <w:szCs w:val="24"/>
                <w:lang w:val="en-US"/>
              </w:rPr>
              <w:t>认识各类型号PLC</w:t>
            </w:r>
          </w:p>
          <w:p>
            <w:pPr>
              <w:pStyle w:val="17"/>
              <w:spacing w:before="4" w:line="390" w:lineRule="atLeast"/>
              <w:ind w:right="40"/>
              <w:jc w:val="both"/>
              <w:rPr>
                <w:color w:val="0D0D0D"/>
                <w:sz w:val="24"/>
                <w:szCs w:val="24"/>
                <w:lang w:val="en-US"/>
              </w:rPr>
            </w:pPr>
            <w:r>
              <w:rPr>
                <w:rFonts w:hint="eastAsia"/>
                <w:color w:val="0D0D0D"/>
                <w:sz w:val="24"/>
                <w:szCs w:val="24"/>
                <w:lang w:val="en-US"/>
              </w:rPr>
              <w:t>会使用PLC编程软件和常用指令与功能</w:t>
            </w:r>
          </w:p>
          <w:p>
            <w:pPr>
              <w:pStyle w:val="17"/>
              <w:spacing w:before="4" w:line="390" w:lineRule="atLeast"/>
              <w:ind w:right="40"/>
              <w:jc w:val="both"/>
              <w:rPr>
                <w:color w:val="0D0D0D"/>
                <w:sz w:val="24"/>
                <w:szCs w:val="24"/>
              </w:rPr>
            </w:pPr>
            <w:r>
              <w:rPr>
                <w:rFonts w:hint="eastAsia"/>
                <w:color w:val="0D0D0D"/>
                <w:sz w:val="24"/>
                <w:szCs w:val="24"/>
              </w:rPr>
              <w:t>具备较强的现场动手能力、学习能力、语言表达能力、沟通能力</w:t>
            </w:r>
          </w:p>
          <w:p>
            <w:pPr>
              <w:pStyle w:val="17"/>
              <w:spacing w:before="4" w:line="390" w:lineRule="atLeast"/>
              <w:ind w:right="40"/>
              <w:jc w:val="both"/>
              <w:rPr>
                <w:color w:val="0D0D0D"/>
                <w:sz w:val="24"/>
                <w:szCs w:val="24"/>
                <w:lang w:val="en-US"/>
              </w:rPr>
            </w:pPr>
            <w:r>
              <w:rPr>
                <w:rFonts w:hint="eastAsia"/>
                <w:color w:val="0D0D0D"/>
                <w:sz w:val="24"/>
                <w:szCs w:val="24"/>
              </w:rPr>
              <w:t>具备良好的团队合作精神</w:t>
            </w:r>
          </w:p>
        </w:tc>
        <w:tc>
          <w:tcPr>
            <w:tcW w:w="1720" w:type="dxa"/>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97" w:hRule="atLeast"/>
        </w:trPr>
        <w:tc>
          <w:tcPr>
            <w:tcW w:w="547" w:type="dxa"/>
            <w:shd w:val="clear" w:color="auto" w:fill="8DB3E2"/>
            <w:vAlign w:val="center"/>
          </w:tcPr>
          <w:p>
            <w:pPr>
              <w:pStyle w:val="17"/>
              <w:spacing w:before="78"/>
              <w:jc w:val="center"/>
              <w:rPr>
                <w:rFonts w:hint="eastAsia" w:eastAsia="仿宋"/>
                <w:b/>
                <w:color w:val="0D0D0D"/>
                <w:w w:val="95"/>
                <w:sz w:val="24"/>
                <w:szCs w:val="24"/>
                <w:lang w:val="en-US" w:eastAsia="zh-CN"/>
              </w:rPr>
            </w:pPr>
            <w:r>
              <w:rPr>
                <w:rFonts w:hint="eastAsia"/>
                <w:b/>
                <w:color w:val="0D0D0D"/>
                <w:w w:val="95"/>
                <w:sz w:val="24"/>
                <w:szCs w:val="24"/>
                <w:lang w:val="en-US" w:eastAsia="zh-CN"/>
              </w:rPr>
              <w:t>7</w:t>
            </w:r>
          </w:p>
        </w:tc>
        <w:tc>
          <w:tcPr>
            <w:tcW w:w="7100" w:type="dxa"/>
            <w:shd w:val="clear" w:color="auto" w:fill="8DB3E2"/>
            <w:vAlign w:val="center"/>
          </w:tcPr>
          <w:p>
            <w:pPr>
              <w:pStyle w:val="17"/>
              <w:spacing w:before="4" w:line="390" w:lineRule="atLeast"/>
              <w:ind w:right="40"/>
              <w:jc w:val="both"/>
              <w:rPr>
                <w:color w:val="0D0D0D"/>
                <w:sz w:val="24"/>
                <w:szCs w:val="24"/>
              </w:rPr>
            </w:pPr>
            <w:r>
              <w:rPr>
                <w:rFonts w:hint="eastAsia"/>
                <w:color w:val="0D0D0D"/>
                <w:sz w:val="24"/>
                <w:szCs w:val="24"/>
              </w:rPr>
              <w:t>通用机电设备安装、调试、保养及维护</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6</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17"/>
              <w:spacing w:before="78"/>
              <w:jc w:val="center"/>
              <w:rPr>
                <w:b/>
                <w:color w:val="0D0D0D"/>
                <w:w w:val="95"/>
                <w:sz w:val="24"/>
                <w:szCs w:val="24"/>
              </w:rPr>
            </w:pPr>
          </w:p>
        </w:tc>
        <w:tc>
          <w:tcPr>
            <w:tcW w:w="7100" w:type="dxa"/>
            <w:tcBorders>
              <w:bottom w:val="single" w:color="003762" w:sz="8" w:space="0"/>
            </w:tcBorders>
            <w:vAlign w:val="center"/>
          </w:tcPr>
          <w:p>
            <w:pPr>
              <w:pStyle w:val="17"/>
              <w:spacing w:before="4" w:line="390" w:lineRule="atLeast"/>
              <w:ind w:right="40"/>
              <w:jc w:val="both"/>
              <w:rPr>
                <w:color w:val="0D0D0D"/>
                <w:sz w:val="24"/>
                <w:szCs w:val="24"/>
                <w:lang w:val="en-US"/>
              </w:rPr>
            </w:pPr>
            <w:r>
              <w:rPr>
                <w:rFonts w:hint="eastAsia"/>
                <w:color w:val="0D0D0D"/>
                <w:sz w:val="24"/>
                <w:szCs w:val="24"/>
                <w:lang w:val="en-US"/>
              </w:rPr>
              <w:t>了解机电设备安装与维修的基本方法和理论知识</w:t>
            </w:r>
          </w:p>
          <w:p>
            <w:pPr>
              <w:pStyle w:val="17"/>
              <w:spacing w:before="4" w:line="390" w:lineRule="atLeast"/>
              <w:ind w:right="40"/>
              <w:jc w:val="both"/>
              <w:rPr>
                <w:color w:val="0D0D0D"/>
                <w:sz w:val="24"/>
                <w:szCs w:val="24"/>
                <w:lang w:val="en-US"/>
              </w:rPr>
            </w:pPr>
            <w:r>
              <w:rPr>
                <w:rFonts w:hint="eastAsia"/>
                <w:color w:val="0D0D0D"/>
                <w:sz w:val="24"/>
                <w:szCs w:val="24"/>
                <w:lang w:val="en-US"/>
              </w:rPr>
              <w:t>熟悉常用的机电设备如：机床、电梯、起重机、变压器等</w:t>
            </w:r>
          </w:p>
          <w:p>
            <w:pPr>
              <w:pStyle w:val="17"/>
              <w:spacing w:before="4" w:line="390" w:lineRule="atLeast"/>
              <w:ind w:right="40"/>
              <w:jc w:val="both"/>
              <w:rPr>
                <w:color w:val="0D0D0D"/>
                <w:sz w:val="24"/>
                <w:szCs w:val="24"/>
                <w:lang w:val="en-US"/>
              </w:rPr>
            </w:pPr>
            <w:r>
              <w:rPr>
                <w:rFonts w:hint="eastAsia"/>
                <w:color w:val="0D0D0D"/>
                <w:sz w:val="24"/>
                <w:szCs w:val="24"/>
                <w:lang w:val="en-US"/>
              </w:rPr>
              <w:t>了解机电设备保养和维护的重要性</w:t>
            </w:r>
          </w:p>
          <w:p>
            <w:pPr>
              <w:pStyle w:val="17"/>
              <w:spacing w:before="4" w:line="390" w:lineRule="atLeast"/>
              <w:ind w:right="40"/>
              <w:jc w:val="both"/>
              <w:rPr>
                <w:color w:val="0D0D0D"/>
                <w:sz w:val="24"/>
                <w:szCs w:val="24"/>
              </w:rPr>
            </w:pPr>
            <w:r>
              <w:rPr>
                <w:rFonts w:hint="eastAsia"/>
                <w:color w:val="0D0D0D"/>
                <w:sz w:val="24"/>
                <w:szCs w:val="24"/>
              </w:rPr>
              <w:t>具备较强的现场动手能力、学习能力、语言表达能力、沟通能力</w:t>
            </w:r>
          </w:p>
          <w:p>
            <w:pPr>
              <w:pStyle w:val="17"/>
              <w:spacing w:before="4" w:line="390" w:lineRule="atLeast"/>
              <w:ind w:right="40"/>
              <w:jc w:val="both"/>
              <w:rPr>
                <w:color w:val="0D0D0D"/>
                <w:sz w:val="24"/>
                <w:szCs w:val="24"/>
                <w:lang w:val="en-US"/>
              </w:rPr>
            </w:pPr>
            <w:r>
              <w:rPr>
                <w:rFonts w:hint="eastAsia"/>
                <w:color w:val="0D0D0D"/>
                <w:sz w:val="24"/>
                <w:szCs w:val="24"/>
              </w:rPr>
              <w:t>具备良好的团队合作精神</w:t>
            </w:r>
          </w:p>
        </w:tc>
        <w:tc>
          <w:tcPr>
            <w:tcW w:w="1720" w:type="dxa"/>
            <w:tcBorders>
              <w:bottom w:val="single" w:color="003762" w:sz="8" w:space="0"/>
            </w:tcBorders>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17"/>
              <w:spacing w:before="78"/>
              <w:jc w:val="center"/>
              <w:rPr>
                <w:rFonts w:hint="eastAsia" w:eastAsia="仿宋"/>
                <w:b/>
                <w:color w:val="0D0D0D"/>
                <w:w w:val="95"/>
                <w:sz w:val="24"/>
                <w:szCs w:val="24"/>
                <w:lang w:val="en-US" w:eastAsia="zh-CN"/>
              </w:rPr>
            </w:pPr>
            <w:r>
              <w:rPr>
                <w:rFonts w:hint="eastAsia"/>
                <w:b/>
                <w:color w:val="0D0D0D"/>
                <w:w w:val="95"/>
                <w:sz w:val="24"/>
                <w:szCs w:val="24"/>
                <w:lang w:val="en-US" w:eastAsia="zh-CN"/>
              </w:rPr>
              <w:t>8</w:t>
            </w:r>
          </w:p>
        </w:tc>
        <w:tc>
          <w:tcPr>
            <w:tcW w:w="7100" w:type="dxa"/>
            <w:shd w:val="clear" w:color="auto" w:fill="8DB3E2"/>
            <w:vAlign w:val="center"/>
          </w:tcPr>
          <w:p>
            <w:pPr>
              <w:pStyle w:val="17"/>
              <w:spacing w:before="4" w:line="390" w:lineRule="atLeast"/>
              <w:ind w:right="40"/>
              <w:jc w:val="both"/>
              <w:rPr>
                <w:rFonts w:hint="default" w:eastAsia="仿宋"/>
                <w:b/>
                <w:color w:val="0D0D0D"/>
                <w:w w:val="95"/>
                <w:sz w:val="24"/>
                <w:szCs w:val="24"/>
                <w:lang w:val="en-US" w:eastAsia="zh-CN"/>
              </w:rPr>
            </w:pPr>
            <w:r>
              <w:rPr>
                <w:rFonts w:hint="eastAsia"/>
                <w:b/>
                <w:color w:val="0D0D0D"/>
                <w:w w:val="95"/>
                <w:sz w:val="24"/>
                <w:szCs w:val="24"/>
                <w:lang w:val="en-US"/>
              </w:rPr>
              <w:t>工业互联网</w:t>
            </w:r>
            <w:r>
              <w:rPr>
                <w:rFonts w:hint="eastAsia"/>
                <w:b/>
                <w:color w:val="0D0D0D"/>
                <w:w w:val="95"/>
                <w:sz w:val="24"/>
                <w:szCs w:val="24"/>
                <w:lang w:val="en-US" w:eastAsia="zh-CN"/>
              </w:rPr>
              <w:t>体系架构</w:t>
            </w:r>
          </w:p>
        </w:tc>
        <w:tc>
          <w:tcPr>
            <w:tcW w:w="1720" w:type="dxa"/>
            <w:shd w:val="clear" w:color="auto" w:fill="8DB3E2"/>
            <w:vAlign w:val="center"/>
          </w:tcPr>
          <w:p>
            <w:pPr>
              <w:pStyle w:val="17"/>
              <w:spacing w:before="78"/>
              <w:jc w:val="center"/>
              <w:rPr>
                <w:b/>
                <w:color w:val="0D0D0D"/>
                <w:w w:val="95"/>
                <w:sz w:val="24"/>
                <w:szCs w:val="24"/>
                <w:lang w:val="en-US"/>
              </w:rPr>
            </w:pPr>
            <w:r>
              <w:rPr>
                <w:rFonts w:hint="eastAsia"/>
                <w:b/>
                <w:color w:val="0D0D0D"/>
                <w:w w:val="95"/>
                <w:sz w:val="24"/>
                <w:szCs w:val="24"/>
                <w:lang w:val="en-US"/>
              </w:rPr>
              <w:t>5</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17"/>
              <w:spacing w:before="78"/>
              <w:jc w:val="center"/>
              <w:rPr>
                <w:b/>
                <w:w w:val="95"/>
                <w:sz w:val="24"/>
                <w:szCs w:val="24"/>
              </w:rPr>
            </w:pPr>
          </w:p>
        </w:tc>
        <w:tc>
          <w:tcPr>
            <w:tcW w:w="7100" w:type="dxa"/>
            <w:tcBorders>
              <w:bottom w:val="single" w:color="003762" w:sz="8" w:space="0"/>
            </w:tcBorders>
            <w:vAlign w:val="center"/>
          </w:tcPr>
          <w:p>
            <w:pPr>
              <w:pStyle w:val="17"/>
              <w:spacing w:before="4" w:line="390" w:lineRule="atLeast"/>
              <w:ind w:right="40"/>
              <w:jc w:val="both"/>
              <w:rPr>
                <w:rFonts w:hint="eastAsia"/>
                <w:sz w:val="24"/>
                <w:szCs w:val="24"/>
                <w:lang w:val="en-US"/>
              </w:rPr>
            </w:pPr>
            <w:r>
              <w:rPr>
                <w:rFonts w:hint="eastAsia"/>
                <w:sz w:val="24"/>
                <w:szCs w:val="24"/>
                <w:lang w:val="en-US"/>
              </w:rPr>
              <w:t>熟悉工业互联网概念</w:t>
            </w:r>
          </w:p>
          <w:p>
            <w:pPr>
              <w:pStyle w:val="17"/>
              <w:spacing w:before="4" w:line="390" w:lineRule="atLeast"/>
              <w:ind w:right="40"/>
              <w:jc w:val="both"/>
              <w:rPr>
                <w:sz w:val="24"/>
                <w:szCs w:val="24"/>
                <w:lang w:val="en-US"/>
              </w:rPr>
            </w:pPr>
            <w:r>
              <w:rPr>
                <w:rFonts w:hint="eastAsia"/>
                <w:sz w:val="24"/>
                <w:szCs w:val="24"/>
                <w:lang w:val="en-US"/>
              </w:rPr>
              <w:t>熟悉工业互联网技术体系、5G技术</w:t>
            </w:r>
          </w:p>
          <w:p>
            <w:pPr>
              <w:pStyle w:val="17"/>
              <w:spacing w:before="4" w:line="390" w:lineRule="atLeast"/>
              <w:ind w:right="40"/>
              <w:jc w:val="both"/>
              <w:rPr>
                <w:sz w:val="24"/>
                <w:szCs w:val="24"/>
                <w:lang w:val="en-US"/>
              </w:rPr>
            </w:pPr>
            <w:r>
              <w:rPr>
                <w:rFonts w:hint="eastAsia"/>
                <w:sz w:val="24"/>
                <w:szCs w:val="24"/>
                <w:lang w:val="en-US"/>
              </w:rPr>
              <w:t>熟悉工业互联网边缘计算技术</w:t>
            </w:r>
          </w:p>
          <w:p>
            <w:pPr>
              <w:pStyle w:val="17"/>
              <w:spacing w:before="4" w:line="390" w:lineRule="atLeast"/>
              <w:ind w:right="40"/>
              <w:jc w:val="both"/>
              <w:rPr>
                <w:sz w:val="24"/>
                <w:szCs w:val="24"/>
                <w:lang w:val="en-US"/>
              </w:rPr>
            </w:pPr>
            <w:r>
              <w:rPr>
                <w:rFonts w:hint="eastAsia"/>
                <w:sz w:val="24"/>
                <w:szCs w:val="24"/>
                <w:lang w:val="en-US"/>
              </w:rPr>
              <w:t>熟悉工业互联网功能架构</w:t>
            </w:r>
          </w:p>
        </w:tc>
        <w:tc>
          <w:tcPr>
            <w:tcW w:w="1720" w:type="dxa"/>
            <w:tcBorders>
              <w:bottom w:val="single" w:color="003762" w:sz="8" w:space="0"/>
            </w:tcBorders>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17"/>
              <w:spacing w:before="78"/>
              <w:jc w:val="center"/>
              <w:rPr>
                <w:rFonts w:hint="eastAsia" w:eastAsia="仿宋"/>
                <w:b/>
                <w:w w:val="95"/>
                <w:sz w:val="24"/>
                <w:szCs w:val="24"/>
                <w:highlight w:val="yellow"/>
                <w:lang w:eastAsia="zh-CN"/>
              </w:rPr>
            </w:pPr>
            <w:r>
              <w:rPr>
                <w:rFonts w:hint="eastAsia"/>
                <w:b/>
                <w:w w:val="95"/>
                <w:sz w:val="24"/>
                <w:szCs w:val="24"/>
                <w:lang w:val="en-US" w:eastAsia="zh-CN"/>
              </w:rPr>
              <w:t>9</w:t>
            </w:r>
          </w:p>
        </w:tc>
        <w:tc>
          <w:tcPr>
            <w:tcW w:w="7100" w:type="dxa"/>
            <w:shd w:val="clear" w:color="auto" w:fill="8DB3E2"/>
            <w:vAlign w:val="center"/>
          </w:tcPr>
          <w:p>
            <w:pPr>
              <w:pStyle w:val="17"/>
              <w:spacing w:before="4" w:line="390" w:lineRule="atLeast"/>
              <w:ind w:right="40"/>
              <w:jc w:val="both"/>
              <w:rPr>
                <w:b/>
                <w:sz w:val="24"/>
                <w:szCs w:val="24"/>
                <w:highlight w:val="yellow"/>
                <w:lang w:val="en-US"/>
              </w:rPr>
            </w:pPr>
            <w:r>
              <w:rPr>
                <w:rFonts w:hint="eastAsia"/>
                <w:b/>
                <w:sz w:val="24"/>
                <w:szCs w:val="24"/>
                <w:lang w:val="en-US"/>
              </w:rPr>
              <w:t>工业算法应用技术</w:t>
            </w:r>
          </w:p>
        </w:tc>
        <w:tc>
          <w:tcPr>
            <w:tcW w:w="1720" w:type="dxa"/>
            <w:shd w:val="clear" w:color="auto" w:fill="8DB3E2"/>
            <w:vAlign w:val="center"/>
          </w:tcPr>
          <w:p>
            <w:pPr>
              <w:pStyle w:val="17"/>
              <w:spacing w:before="78"/>
              <w:jc w:val="center"/>
              <w:rPr>
                <w:b/>
                <w:color w:val="0D0D0D"/>
                <w:w w:val="95"/>
                <w:sz w:val="24"/>
                <w:szCs w:val="24"/>
              </w:rPr>
            </w:pPr>
            <w:r>
              <w:rPr>
                <w:rFonts w:hint="eastAsia"/>
                <w:b/>
                <w:color w:val="0D0D0D"/>
                <w:w w:val="95"/>
                <w:sz w:val="24"/>
                <w:szCs w:val="24"/>
              </w:rPr>
              <w:t>9</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17"/>
              <w:spacing w:before="78"/>
              <w:jc w:val="center"/>
              <w:rPr>
                <w:b/>
                <w:color w:val="FF0000"/>
                <w:w w:val="95"/>
                <w:sz w:val="24"/>
                <w:szCs w:val="24"/>
                <w:highlight w:val="yellow"/>
              </w:rPr>
            </w:pPr>
          </w:p>
        </w:tc>
        <w:tc>
          <w:tcPr>
            <w:tcW w:w="7100" w:type="dxa"/>
            <w:tcBorders>
              <w:bottom w:val="single" w:color="003762" w:sz="8" w:space="0"/>
            </w:tcBorders>
            <w:vAlign w:val="center"/>
          </w:tcPr>
          <w:p>
            <w:pPr>
              <w:pStyle w:val="17"/>
              <w:spacing w:before="4" w:line="390" w:lineRule="atLeast"/>
              <w:ind w:right="40"/>
              <w:jc w:val="both"/>
              <w:rPr>
                <w:sz w:val="24"/>
                <w:szCs w:val="24"/>
                <w:lang w:val="en-US"/>
              </w:rPr>
            </w:pPr>
            <w:r>
              <w:rPr>
                <w:rFonts w:hint="eastAsia"/>
                <w:sz w:val="24"/>
                <w:szCs w:val="24"/>
                <w:lang w:val="en-US"/>
              </w:rPr>
              <w:t>具备一定的算法能力</w:t>
            </w:r>
          </w:p>
          <w:p>
            <w:pPr>
              <w:pStyle w:val="17"/>
              <w:spacing w:before="4" w:line="390" w:lineRule="atLeast"/>
              <w:ind w:right="40"/>
              <w:jc w:val="both"/>
              <w:rPr>
                <w:sz w:val="24"/>
                <w:szCs w:val="24"/>
                <w:lang w:val="en-US"/>
              </w:rPr>
            </w:pPr>
            <w:r>
              <w:rPr>
                <w:rFonts w:hint="eastAsia"/>
                <w:sz w:val="24"/>
                <w:szCs w:val="24"/>
                <w:lang w:val="en-US"/>
              </w:rPr>
              <w:t>具备</w:t>
            </w:r>
            <w:r>
              <w:rPr>
                <w:sz w:val="24"/>
                <w:szCs w:val="24"/>
                <w:lang w:val="en-US"/>
              </w:rPr>
              <w:t>一定编程能力</w:t>
            </w:r>
          </w:p>
          <w:p>
            <w:pPr>
              <w:pStyle w:val="17"/>
              <w:spacing w:before="4" w:line="390" w:lineRule="atLeast"/>
              <w:ind w:right="40"/>
              <w:jc w:val="both"/>
              <w:rPr>
                <w:sz w:val="24"/>
                <w:szCs w:val="24"/>
              </w:rPr>
            </w:pPr>
            <w:r>
              <w:rPr>
                <w:rFonts w:hint="eastAsia"/>
                <w:sz w:val="24"/>
                <w:szCs w:val="24"/>
                <w:lang w:val="en-US"/>
              </w:rPr>
              <w:t>具备</w:t>
            </w:r>
            <w:r>
              <w:rPr>
                <w:rFonts w:hint="eastAsia"/>
                <w:sz w:val="24"/>
                <w:szCs w:val="24"/>
              </w:rPr>
              <w:t>较强的现场动手能力、学习能力、语言表达能力、沟通能力</w:t>
            </w:r>
          </w:p>
        </w:tc>
        <w:tc>
          <w:tcPr>
            <w:tcW w:w="1720" w:type="dxa"/>
            <w:tcBorders>
              <w:bottom w:val="single" w:color="003762" w:sz="8" w:space="0"/>
            </w:tcBorders>
            <w:vAlign w:val="center"/>
          </w:tcPr>
          <w:p>
            <w:pPr>
              <w:pStyle w:val="17"/>
              <w:spacing w:before="78"/>
              <w:jc w:val="center"/>
              <w:rPr>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17"/>
              <w:spacing w:before="78"/>
              <w:jc w:val="center"/>
              <w:rPr>
                <w:rFonts w:hint="eastAsia" w:eastAsia="仿宋"/>
                <w:b/>
                <w:w w:val="95"/>
                <w:sz w:val="24"/>
                <w:szCs w:val="24"/>
                <w:lang w:eastAsia="zh-CN"/>
              </w:rPr>
            </w:pPr>
            <w:r>
              <w:rPr>
                <w:rFonts w:hint="eastAsia"/>
                <w:b/>
                <w:w w:val="95"/>
                <w:sz w:val="24"/>
                <w:szCs w:val="24"/>
              </w:rPr>
              <w:t>1</w:t>
            </w:r>
            <w:r>
              <w:rPr>
                <w:rFonts w:hint="eastAsia"/>
                <w:b/>
                <w:w w:val="95"/>
                <w:sz w:val="24"/>
                <w:szCs w:val="24"/>
                <w:lang w:val="en-US" w:eastAsia="zh-CN"/>
              </w:rPr>
              <w:t>0</w:t>
            </w:r>
          </w:p>
        </w:tc>
        <w:tc>
          <w:tcPr>
            <w:tcW w:w="7100" w:type="dxa"/>
            <w:shd w:val="clear" w:color="auto" w:fill="8DB3E2"/>
            <w:vAlign w:val="center"/>
          </w:tcPr>
          <w:p>
            <w:pPr>
              <w:pStyle w:val="17"/>
              <w:spacing w:before="4" w:line="390" w:lineRule="atLeast"/>
              <w:ind w:right="40"/>
              <w:jc w:val="both"/>
              <w:rPr>
                <w:b/>
                <w:w w:val="95"/>
                <w:sz w:val="24"/>
                <w:szCs w:val="24"/>
              </w:rPr>
            </w:pPr>
            <w:r>
              <w:rPr>
                <w:rFonts w:hint="eastAsia"/>
                <w:b/>
                <w:w w:val="95"/>
                <w:sz w:val="24"/>
                <w:szCs w:val="24"/>
              </w:rPr>
              <w:t>预测性维护应用技术</w:t>
            </w:r>
          </w:p>
        </w:tc>
        <w:tc>
          <w:tcPr>
            <w:tcW w:w="1720" w:type="dxa"/>
            <w:shd w:val="clear" w:color="auto" w:fill="8DB3E2"/>
            <w:vAlign w:val="center"/>
          </w:tcPr>
          <w:p>
            <w:pPr>
              <w:pStyle w:val="17"/>
              <w:spacing w:before="78"/>
              <w:jc w:val="center"/>
              <w:rPr>
                <w:b/>
                <w:color w:val="0D0D0D"/>
                <w:w w:val="95"/>
                <w:sz w:val="24"/>
                <w:szCs w:val="24"/>
              </w:rPr>
            </w:pPr>
            <w:r>
              <w:rPr>
                <w:rFonts w:hint="eastAsia"/>
                <w:b/>
                <w:color w:val="0D0D0D"/>
                <w:w w:val="95"/>
                <w:sz w:val="24"/>
                <w:szCs w:val="24"/>
              </w:rPr>
              <w:t>9</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17"/>
              <w:spacing w:before="78"/>
              <w:jc w:val="center"/>
              <w:rPr>
                <w:b/>
                <w:color w:val="0D0D0D"/>
                <w:w w:val="95"/>
                <w:sz w:val="24"/>
                <w:szCs w:val="24"/>
                <w:highlight w:val="yellow"/>
              </w:rPr>
            </w:pPr>
          </w:p>
        </w:tc>
        <w:tc>
          <w:tcPr>
            <w:tcW w:w="7100" w:type="dxa"/>
            <w:vAlign w:val="center"/>
          </w:tcPr>
          <w:p>
            <w:pPr>
              <w:pStyle w:val="17"/>
              <w:spacing w:before="4" w:line="390" w:lineRule="atLeast"/>
              <w:ind w:right="40"/>
              <w:jc w:val="both"/>
              <w:rPr>
                <w:sz w:val="24"/>
                <w:szCs w:val="24"/>
                <w:lang w:val="en-US"/>
              </w:rPr>
            </w:pPr>
            <w:r>
              <w:rPr>
                <w:sz w:val="24"/>
                <w:szCs w:val="24"/>
                <w:lang w:val="en-US"/>
              </w:rPr>
              <w:t>具备标识解析与故障数据采集能力</w:t>
            </w:r>
          </w:p>
          <w:p>
            <w:pPr>
              <w:pStyle w:val="17"/>
              <w:spacing w:before="4" w:line="390" w:lineRule="atLeast"/>
              <w:ind w:right="40"/>
              <w:jc w:val="both"/>
              <w:rPr>
                <w:sz w:val="24"/>
                <w:szCs w:val="24"/>
                <w:lang w:val="en-US"/>
              </w:rPr>
            </w:pPr>
            <w:r>
              <w:rPr>
                <w:rFonts w:hint="eastAsia"/>
                <w:sz w:val="24"/>
                <w:szCs w:val="24"/>
                <w:lang w:val="en-US"/>
              </w:rPr>
              <w:t>熟悉了解配置平台数据</w:t>
            </w:r>
          </w:p>
          <w:p>
            <w:pPr>
              <w:pStyle w:val="17"/>
              <w:spacing w:before="4" w:line="390" w:lineRule="atLeast"/>
              <w:ind w:right="40"/>
              <w:jc w:val="both"/>
              <w:rPr>
                <w:color w:val="0D0D0D"/>
                <w:sz w:val="24"/>
                <w:szCs w:val="24"/>
                <w:lang w:val="en-US"/>
              </w:rPr>
            </w:pPr>
            <w:r>
              <w:rPr>
                <w:color w:val="0D0D0D"/>
                <w:sz w:val="24"/>
                <w:szCs w:val="24"/>
                <w:lang w:val="en-US"/>
              </w:rPr>
              <w:t>熟悉故障模型建立和分析</w:t>
            </w:r>
          </w:p>
        </w:tc>
        <w:tc>
          <w:tcPr>
            <w:tcW w:w="1720" w:type="dxa"/>
            <w:vAlign w:val="center"/>
          </w:tcPr>
          <w:p>
            <w:pPr>
              <w:pStyle w:val="17"/>
              <w:spacing w:before="78"/>
              <w:jc w:val="center"/>
              <w:rPr>
                <w:b/>
                <w:color w:val="0D0D0D"/>
                <w:w w:val="95"/>
                <w:sz w:val="24"/>
                <w:szCs w:val="24"/>
                <w:highlight w:val="yellow"/>
              </w:rPr>
            </w:pPr>
          </w:p>
        </w:tc>
      </w:tr>
    </w:tbl>
    <w:p/>
    <w:p>
      <w:pPr>
        <w:pStyle w:val="3"/>
        <w:spacing w:before="5"/>
        <w:ind w:left="0" w:firstLine="0"/>
        <w:rPr>
          <w:rFonts w:ascii="Times New Roman"/>
          <w:sz w:val="4"/>
          <w:highlight w:val="yellow"/>
        </w:rPr>
      </w:pPr>
    </w:p>
    <w:p>
      <w:pPr>
        <w:pStyle w:val="3"/>
        <w:spacing w:before="5"/>
        <w:ind w:left="0" w:firstLine="0"/>
        <w:rPr>
          <w:rFonts w:ascii="Times New Roman"/>
          <w:sz w:val="4"/>
          <w:highlight w:val="yellow"/>
        </w:rPr>
      </w:pPr>
    </w:p>
    <w:p>
      <w:pPr>
        <w:pStyle w:val="5"/>
        <w:spacing w:before="5" w:line="360" w:lineRule="auto"/>
        <w:ind w:left="0"/>
        <w:rPr>
          <w:color w:val="0D0D0D"/>
        </w:rPr>
      </w:pPr>
      <w:r>
        <w:rPr>
          <w:rFonts w:hint="eastAsia"/>
          <w:color w:val="0D0D0D"/>
        </w:rPr>
        <w:t>（三）</w:t>
      </w:r>
      <w:r>
        <w:rPr>
          <w:color w:val="0D0D0D"/>
        </w:rPr>
        <w:t>竞赛模块</w:t>
      </w:r>
    </w:p>
    <w:p>
      <w:pPr>
        <w:spacing w:line="360" w:lineRule="auto"/>
        <w:ind w:firstLine="480" w:firstLineChars="200"/>
        <w:rPr>
          <w:sz w:val="24"/>
          <w:szCs w:val="24"/>
          <w:lang w:val="en-US"/>
        </w:rPr>
      </w:pPr>
      <w:r>
        <w:rPr>
          <w:rFonts w:hint="eastAsia"/>
          <w:sz w:val="24"/>
          <w:szCs w:val="24"/>
          <w:lang w:val="en-US"/>
        </w:rPr>
        <w:t>本赛项设计以</w:t>
      </w:r>
      <w:r>
        <w:rPr>
          <w:rFonts w:hint="eastAsia" w:ascii="仿宋" w:hAnsi="仿宋" w:eastAsia="仿宋"/>
          <w:sz w:val="24"/>
          <w:szCs w:val="24"/>
          <w:lang w:val="en-US"/>
        </w:rPr>
        <w:t>《关于在院校实施“学历证书+若干职业技能等级证书”制度试点方案》</w:t>
      </w:r>
      <w:r>
        <w:rPr>
          <w:rFonts w:hint="eastAsia"/>
          <w:sz w:val="24"/>
          <w:szCs w:val="24"/>
          <w:lang w:val="en-US"/>
        </w:rPr>
        <w:t>和</w:t>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工业和信息化部办公厅关于推动工业互联网加快发展的通知</w:t>
      </w:r>
      <w:r>
        <w:rPr>
          <w:rFonts w:hint="eastAsia"/>
          <w:color w:val="000000"/>
          <w:lang w:val="en-US" w:bidi="ar-SA"/>
        </w:rPr>
        <w:fldChar w:fldCharType="end"/>
      </w:r>
      <w:r>
        <w:fldChar w:fldCharType="begin"/>
      </w:r>
      <w:r>
        <w:instrText xml:space="preserve"> HYPERLINK "http://www.gov.cn/zhengce/zhengceku/2020-03/20/content_5493549.htm" </w:instrText>
      </w:r>
      <w:r>
        <w:fldChar w:fldCharType="separate"/>
      </w:r>
      <w:r>
        <w:rPr>
          <w:rFonts w:hint="eastAsia"/>
          <w:color w:val="000000"/>
          <w:lang w:val="en-US" w:bidi="ar-SA"/>
        </w:rPr>
        <w:t>》</w:t>
      </w:r>
      <w:r>
        <w:rPr>
          <w:rFonts w:hint="eastAsia"/>
          <w:color w:val="000000"/>
          <w:lang w:val="en-US" w:bidi="ar-SA"/>
        </w:rPr>
        <w:fldChar w:fldCharType="end"/>
      </w:r>
      <w:r>
        <w:rPr>
          <w:rFonts w:hint="eastAsia"/>
          <w:sz w:val="24"/>
          <w:szCs w:val="24"/>
          <w:lang w:val="en-US"/>
        </w:rPr>
        <w:t>为指导依据，并结合国内行业实际和世赛标准来组织命题，积极贯彻“以赛促教、以赛促改、以赛促学”的精神，努力探索竞赛内容向教学资源的转化。</w:t>
      </w:r>
    </w:p>
    <w:p>
      <w:pPr>
        <w:spacing w:line="360" w:lineRule="auto"/>
        <w:ind w:firstLine="480" w:firstLineChars="200"/>
        <w:rPr>
          <w:sz w:val="24"/>
          <w:szCs w:val="24"/>
          <w:lang w:val="en-US"/>
        </w:rPr>
      </w:pPr>
      <w:r>
        <w:rPr>
          <w:rFonts w:hint="eastAsia"/>
          <w:sz w:val="24"/>
          <w:szCs w:val="24"/>
          <w:lang w:val="en-US"/>
        </w:rPr>
        <w:t>竞赛设备为一套“SD PDM200工业互联网</w:t>
      </w:r>
      <w:r>
        <w:rPr>
          <w:rFonts w:hint="eastAsia"/>
          <w:sz w:val="24"/>
          <w:szCs w:val="24"/>
          <w:lang w:val="en-US" w:eastAsia="zh-CN"/>
        </w:rPr>
        <w:t>预测性维护实训平台</w:t>
      </w:r>
      <w:r>
        <w:rPr>
          <w:rFonts w:hint="eastAsia"/>
          <w:sz w:val="24"/>
          <w:szCs w:val="24"/>
          <w:lang w:val="en-US"/>
        </w:rPr>
        <w:t>”，该设备由工业互联网智能传感器实训考核设备、桌面级工业自动化产线、</w:t>
      </w:r>
      <w:r>
        <w:rPr>
          <w:rFonts w:hint="eastAsia"/>
          <w:sz w:val="24"/>
          <w:szCs w:val="24"/>
          <w:lang w:val="en-US" w:eastAsia="zh-CN"/>
        </w:rPr>
        <w:t>工业互联网预测性维护平台</w:t>
      </w:r>
      <w:r>
        <w:rPr>
          <w:rFonts w:hint="eastAsia"/>
          <w:sz w:val="24"/>
          <w:szCs w:val="24"/>
          <w:lang w:val="en-US"/>
        </w:rPr>
        <w:t>系统</w:t>
      </w:r>
      <w:r>
        <w:rPr>
          <w:rFonts w:hint="eastAsia"/>
          <w:sz w:val="24"/>
          <w:szCs w:val="24"/>
          <w:lang w:val="en-US" w:eastAsia="zh-CN"/>
        </w:rPr>
        <w:t>三</w:t>
      </w:r>
      <w:r>
        <w:rPr>
          <w:rFonts w:hint="eastAsia"/>
          <w:sz w:val="24"/>
          <w:szCs w:val="24"/>
          <w:lang w:val="en-US"/>
        </w:rPr>
        <w:t>大主要模块组成。</w:t>
      </w:r>
    </w:p>
    <w:p>
      <w:pPr>
        <w:spacing w:line="360" w:lineRule="auto"/>
        <w:ind w:firstLine="480" w:firstLineChars="200"/>
        <w:rPr>
          <w:sz w:val="24"/>
          <w:szCs w:val="24"/>
          <w:lang w:val="en-US"/>
        </w:rPr>
      </w:pPr>
      <w:r>
        <w:rPr>
          <w:rFonts w:hint="eastAsia"/>
          <w:sz w:val="24"/>
          <w:szCs w:val="24"/>
          <w:lang w:val="en-US"/>
        </w:rPr>
        <w:t>重点考察：能根据不同设备所采集数据不同选择对应的传感器并安装；能根据不同设备核心部件变频器、PLC、总线、伺服控制系统、气动控制系统所采集数据选择对应品牌部件并安装；能配置</w:t>
      </w:r>
      <w:r>
        <w:rPr>
          <w:rFonts w:hint="eastAsia"/>
          <w:sz w:val="24"/>
          <w:szCs w:val="24"/>
          <w:lang w:val="en-US" w:eastAsia="zh-CN"/>
        </w:rPr>
        <w:t>工业互联网预测性维护平台</w:t>
      </w:r>
      <w:r>
        <w:rPr>
          <w:rFonts w:hint="eastAsia"/>
          <w:sz w:val="24"/>
          <w:szCs w:val="24"/>
          <w:lang w:val="en-US"/>
        </w:rPr>
        <w:t>、能使用云平台自动获取传感器、变频器、PLC、总线和气动控制系统主要数据信息、能设置主要数据的超差预警并实现智能预警。</w:t>
      </w:r>
    </w:p>
    <w:p>
      <w:pPr>
        <w:pStyle w:val="2"/>
        <w:ind w:firstLine="240"/>
        <w:rPr>
          <w:lang w:val="en-US"/>
        </w:rPr>
      </w:pPr>
    </w:p>
    <w:p>
      <w:pPr>
        <w:pStyle w:val="2"/>
        <w:ind w:firstLine="240"/>
        <w:rPr>
          <w:lang w:val="en-US"/>
        </w:rPr>
      </w:pPr>
    </w:p>
    <w:p>
      <w:pPr>
        <w:pStyle w:val="2"/>
        <w:ind w:left="0" w:firstLine="0" w:firstLineChars="0"/>
        <w:jc w:val="center"/>
        <w:rPr>
          <w:lang w:val="en-US"/>
        </w:rPr>
      </w:pPr>
      <w:r>
        <w:rPr>
          <w:rFonts w:hint="eastAsia"/>
          <w:lang w:val="en-US"/>
        </w:rPr>
        <w:t>表1</w:t>
      </w:r>
      <w:r>
        <w:rPr>
          <w:lang w:val="en-US"/>
        </w:rPr>
        <w:t xml:space="preserve"> 竞赛项目模块内容</w:t>
      </w:r>
    </w:p>
    <w:tbl>
      <w:tblPr>
        <w:tblStyle w:val="12"/>
        <w:tblpPr w:leftFromText="180" w:rightFromText="180" w:vertAnchor="text" w:horzAnchor="page" w:tblpX="1924" w:tblpY="229"/>
        <w:tblOverlap w:val="never"/>
        <w:tblW w:w="8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126"/>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23" w:type="dxa"/>
            <w:vAlign w:val="center"/>
          </w:tcPr>
          <w:p>
            <w:pPr>
              <w:pStyle w:val="17"/>
              <w:spacing w:before="105"/>
              <w:jc w:val="center"/>
              <w:rPr>
                <w:b/>
                <w:sz w:val="24"/>
              </w:rPr>
            </w:pPr>
            <w:r>
              <w:rPr>
                <w:b/>
                <w:color w:val="0D0D0D"/>
                <w:sz w:val="24"/>
              </w:rPr>
              <w:t>考查模块</w:t>
            </w:r>
          </w:p>
        </w:tc>
        <w:tc>
          <w:tcPr>
            <w:tcW w:w="2126" w:type="dxa"/>
            <w:vAlign w:val="center"/>
          </w:tcPr>
          <w:p>
            <w:pPr>
              <w:pStyle w:val="17"/>
              <w:spacing w:before="158"/>
              <w:ind w:right="80"/>
              <w:jc w:val="center"/>
              <w:rPr>
                <w:b/>
                <w:sz w:val="24"/>
              </w:rPr>
            </w:pPr>
            <w:r>
              <w:rPr>
                <w:b/>
                <w:color w:val="0D0D0D"/>
                <w:sz w:val="24"/>
              </w:rPr>
              <w:t>考查点</w:t>
            </w:r>
          </w:p>
        </w:tc>
        <w:tc>
          <w:tcPr>
            <w:tcW w:w="4678" w:type="dxa"/>
            <w:vAlign w:val="center"/>
          </w:tcPr>
          <w:p>
            <w:pPr>
              <w:pStyle w:val="17"/>
              <w:spacing w:before="105"/>
              <w:jc w:val="center"/>
              <w:rPr>
                <w:b/>
                <w:sz w:val="24"/>
              </w:rPr>
            </w:pPr>
            <w:r>
              <w:rPr>
                <w:b/>
                <w:color w:val="0D0D0D"/>
                <w:sz w:val="24"/>
              </w:rPr>
              <w:t>考查项目描述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23" w:type="dxa"/>
            <w:vMerge w:val="restart"/>
            <w:vAlign w:val="center"/>
          </w:tcPr>
          <w:p>
            <w:pPr>
              <w:pStyle w:val="17"/>
              <w:spacing w:before="158" w:line="242" w:lineRule="auto"/>
              <w:ind w:right="65"/>
              <w:jc w:val="center"/>
              <w:rPr>
                <w:color w:val="0D0D0D"/>
                <w:sz w:val="24"/>
                <w:lang w:val="en-US"/>
              </w:rPr>
            </w:pPr>
            <w:r>
              <w:rPr>
                <w:rFonts w:hint="eastAsia"/>
                <w:color w:val="0D0D0D"/>
                <w:sz w:val="24"/>
                <w:lang w:val="en-US"/>
              </w:rPr>
              <w:t>传感器选择与安装</w:t>
            </w:r>
          </w:p>
        </w:tc>
        <w:tc>
          <w:tcPr>
            <w:tcW w:w="2126" w:type="dxa"/>
            <w:vAlign w:val="center"/>
          </w:tcPr>
          <w:p>
            <w:pPr>
              <w:pStyle w:val="17"/>
              <w:spacing w:before="158" w:line="242" w:lineRule="auto"/>
              <w:ind w:right="65"/>
              <w:jc w:val="center"/>
              <w:rPr>
                <w:color w:val="0D0D0D"/>
                <w:sz w:val="24"/>
                <w:lang w:val="en-US"/>
              </w:rPr>
            </w:pPr>
            <w:r>
              <w:rPr>
                <w:rFonts w:hint="eastAsia"/>
                <w:color w:val="0D0D0D"/>
                <w:sz w:val="24"/>
                <w:lang w:val="en-US"/>
              </w:rPr>
              <w:t>传感器选项</w:t>
            </w:r>
          </w:p>
        </w:tc>
        <w:tc>
          <w:tcPr>
            <w:tcW w:w="4678" w:type="dxa"/>
            <w:vAlign w:val="center"/>
          </w:tcPr>
          <w:p>
            <w:pPr>
              <w:pStyle w:val="17"/>
              <w:spacing w:before="5" w:line="287" w:lineRule="exact"/>
              <w:rPr>
                <w:color w:val="0D0D0D"/>
                <w:sz w:val="24"/>
                <w:lang w:val="en-US"/>
              </w:rPr>
            </w:pPr>
            <w:r>
              <w:rPr>
                <w:rFonts w:hint="eastAsia"/>
                <w:color w:val="0D0D0D"/>
                <w:sz w:val="24"/>
                <w:lang w:val="en-US"/>
              </w:rPr>
              <w:t>1.结合设备类型确定采集数据类型</w:t>
            </w:r>
          </w:p>
          <w:p>
            <w:pPr>
              <w:pStyle w:val="17"/>
              <w:spacing w:before="5" w:line="287" w:lineRule="exact"/>
              <w:rPr>
                <w:color w:val="0D0D0D"/>
                <w:sz w:val="24"/>
                <w:lang w:val="en-US"/>
              </w:rPr>
            </w:pPr>
            <w:r>
              <w:rPr>
                <w:rFonts w:hint="eastAsia"/>
                <w:color w:val="0D0D0D"/>
                <w:sz w:val="24"/>
                <w:lang w:val="en-US"/>
              </w:rPr>
              <w:t>2.根据采集类型确定传感器型号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23" w:type="dxa"/>
            <w:vMerge w:val="continue"/>
            <w:tcBorders>
              <w:top w:val="nil"/>
            </w:tcBorders>
            <w:vAlign w:val="center"/>
          </w:tcPr>
          <w:p>
            <w:pPr>
              <w:jc w:val="center"/>
              <w:rPr>
                <w:sz w:val="2"/>
                <w:szCs w:val="2"/>
              </w:rPr>
            </w:pPr>
          </w:p>
        </w:tc>
        <w:tc>
          <w:tcPr>
            <w:tcW w:w="2126" w:type="dxa"/>
            <w:vAlign w:val="center"/>
          </w:tcPr>
          <w:p>
            <w:pPr>
              <w:pStyle w:val="17"/>
              <w:spacing w:before="158" w:line="242" w:lineRule="auto"/>
              <w:ind w:right="65"/>
              <w:jc w:val="center"/>
              <w:rPr>
                <w:sz w:val="24"/>
                <w:lang w:val="en-US"/>
              </w:rPr>
            </w:pPr>
            <w:r>
              <w:rPr>
                <w:rFonts w:hint="eastAsia"/>
                <w:color w:val="0D0D0D"/>
                <w:sz w:val="24"/>
                <w:lang w:val="en-US"/>
              </w:rPr>
              <w:t>传感器安装调试</w:t>
            </w:r>
          </w:p>
        </w:tc>
        <w:tc>
          <w:tcPr>
            <w:tcW w:w="4678" w:type="dxa"/>
            <w:vAlign w:val="center"/>
          </w:tcPr>
          <w:p>
            <w:pPr>
              <w:pStyle w:val="17"/>
              <w:spacing w:before="5" w:line="287" w:lineRule="exact"/>
              <w:rPr>
                <w:sz w:val="24"/>
                <w:lang w:val="en-US"/>
              </w:rPr>
            </w:pPr>
            <w:r>
              <w:rPr>
                <w:rFonts w:hint="eastAsia"/>
                <w:sz w:val="24"/>
                <w:lang w:val="en-US"/>
              </w:rPr>
              <w:t>1.能正确安装传感器</w:t>
            </w:r>
          </w:p>
          <w:p>
            <w:pPr>
              <w:pStyle w:val="17"/>
              <w:spacing w:before="5" w:line="287" w:lineRule="exact"/>
              <w:rPr>
                <w:sz w:val="24"/>
                <w:lang w:val="en-US"/>
              </w:rPr>
            </w:pPr>
            <w:r>
              <w:rPr>
                <w:rFonts w:hint="eastAsia"/>
                <w:sz w:val="24"/>
                <w:lang w:val="en-US"/>
              </w:rPr>
              <w:t>2.设置传感器软件通讯协议并成功连接传感器通讯接口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23" w:type="dxa"/>
            <w:vMerge w:val="restart"/>
            <w:vAlign w:val="center"/>
          </w:tcPr>
          <w:p>
            <w:pPr>
              <w:pStyle w:val="17"/>
              <w:spacing w:before="208" w:line="242" w:lineRule="auto"/>
              <w:ind w:right="103"/>
              <w:jc w:val="center"/>
              <w:rPr>
                <w:sz w:val="24"/>
                <w:lang w:val="en-US"/>
              </w:rPr>
            </w:pPr>
            <w:r>
              <w:rPr>
                <w:rFonts w:hint="eastAsia"/>
                <w:color w:val="0D0D0D"/>
                <w:sz w:val="24"/>
                <w:lang w:val="en-US"/>
              </w:rPr>
              <w:t>核心部件选择与安装</w:t>
            </w:r>
          </w:p>
        </w:tc>
        <w:tc>
          <w:tcPr>
            <w:tcW w:w="2126" w:type="dxa"/>
            <w:vAlign w:val="center"/>
          </w:tcPr>
          <w:p>
            <w:pPr>
              <w:pStyle w:val="17"/>
              <w:ind w:right="98"/>
              <w:jc w:val="center"/>
              <w:rPr>
                <w:sz w:val="24"/>
                <w:lang w:val="en-US"/>
              </w:rPr>
            </w:pPr>
            <w:r>
              <w:rPr>
                <w:rFonts w:hint="eastAsia"/>
                <w:sz w:val="24"/>
                <w:lang w:val="en-US"/>
              </w:rPr>
              <w:t>部件选型</w:t>
            </w:r>
          </w:p>
        </w:tc>
        <w:tc>
          <w:tcPr>
            <w:tcW w:w="4678" w:type="dxa"/>
            <w:vAlign w:val="center"/>
          </w:tcPr>
          <w:p>
            <w:pPr>
              <w:pStyle w:val="17"/>
              <w:spacing w:before="5" w:line="310" w:lineRule="atLeast"/>
              <w:ind w:right="93"/>
              <w:rPr>
                <w:sz w:val="24"/>
                <w:lang w:val="en-US"/>
              </w:rPr>
            </w:pPr>
            <w:r>
              <w:rPr>
                <w:rFonts w:hint="eastAsia"/>
                <w:sz w:val="24"/>
                <w:lang w:val="en-US"/>
              </w:rPr>
              <w:t>结合设备核心部件，</w:t>
            </w:r>
            <w:r>
              <w:rPr>
                <w:sz w:val="24"/>
                <w:lang w:val="en-US"/>
              </w:rPr>
              <w:t>确定对应品牌部件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3" w:type="dxa"/>
            <w:vMerge w:val="continue"/>
            <w:tcBorders>
              <w:top w:val="nil"/>
            </w:tcBorders>
            <w:vAlign w:val="center"/>
          </w:tcPr>
          <w:p>
            <w:pPr>
              <w:jc w:val="center"/>
              <w:rPr>
                <w:sz w:val="2"/>
                <w:szCs w:val="2"/>
              </w:rPr>
            </w:pPr>
          </w:p>
        </w:tc>
        <w:tc>
          <w:tcPr>
            <w:tcW w:w="2126" w:type="dxa"/>
            <w:vAlign w:val="center"/>
          </w:tcPr>
          <w:p>
            <w:pPr>
              <w:pStyle w:val="17"/>
              <w:spacing w:before="163" w:line="242" w:lineRule="auto"/>
              <w:ind w:right="65"/>
              <w:jc w:val="center"/>
              <w:rPr>
                <w:sz w:val="24"/>
                <w:lang w:val="en-US"/>
              </w:rPr>
            </w:pPr>
            <w:r>
              <w:rPr>
                <w:rFonts w:hint="eastAsia"/>
                <w:color w:val="0D0D0D"/>
                <w:sz w:val="24"/>
                <w:lang w:val="en-US"/>
              </w:rPr>
              <w:t>安装核心部件</w:t>
            </w:r>
          </w:p>
        </w:tc>
        <w:tc>
          <w:tcPr>
            <w:tcW w:w="4678" w:type="dxa"/>
            <w:vAlign w:val="center"/>
          </w:tcPr>
          <w:p>
            <w:pPr>
              <w:pStyle w:val="17"/>
              <w:spacing w:before="5" w:line="310" w:lineRule="atLeast"/>
              <w:ind w:right="93"/>
              <w:rPr>
                <w:sz w:val="24"/>
                <w:lang w:val="en-US"/>
              </w:rPr>
            </w:pPr>
            <w:r>
              <w:rPr>
                <w:rFonts w:hint="eastAsia"/>
                <w:sz w:val="24"/>
                <w:lang w:val="en-US"/>
              </w:rPr>
              <w:t>1.能正确安装核心部件</w:t>
            </w:r>
          </w:p>
          <w:p>
            <w:pPr>
              <w:pStyle w:val="17"/>
              <w:spacing w:before="5" w:line="310" w:lineRule="atLeast"/>
              <w:ind w:right="93"/>
              <w:rPr>
                <w:rFonts w:hint="default" w:eastAsia="仿宋"/>
                <w:sz w:val="24"/>
                <w:lang w:val="en-US" w:eastAsia="zh-CN"/>
              </w:rPr>
            </w:pPr>
            <w:r>
              <w:rPr>
                <w:rFonts w:hint="eastAsia"/>
                <w:sz w:val="24"/>
                <w:lang w:val="en-US"/>
              </w:rPr>
              <w:t>2.设置对应软件通讯协议、</w:t>
            </w:r>
            <w:r>
              <w:rPr>
                <w:rFonts w:hint="eastAsia"/>
                <w:sz w:val="24"/>
                <w:lang w:val="en-US" w:eastAsia="zh-CN"/>
              </w:rPr>
              <w:t>数据建模与分析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Merge w:val="continue"/>
            <w:tcBorders>
              <w:top w:val="nil"/>
              <w:bottom w:val="single" w:color="auto" w:sz="4" w:space="0"/>
            </w:tcBorders>
            <w:vAlign w:val="center"/>
          </w:tcPr>
          <w:p>
            <w:pPr>
              <w:jc w:val="center"/>
              <w:rPr>
                <w:sz w:val="2"/>
                <w:szCs w:val="2"/>
              </w:rPr>
            </w:pPr>
          </w:p>
        </w:tc>
        <w:tc>
          <w:tcPr>
            <w:tcW w:w="2126" w:type="dxa"/>
            <w:vAlign w:val="center"/>
          </w:tcPr>
          <w:p>
            <w:pPr>
              <w:pStyle w:val="17"/>
              <w:spacing w:line="242" w:lineRule="auto"/>
              <w:ind w:right="65"/>
              <w:jc w:val="center"/>
              <w:rPr>
                <w:sz w:val="24"/>
              </w:rPr>
            </w:pPr>
            <w:r>
              <w:rPr>
                <w:rFonts w:hint="eastAsia"/>
                <w:color w:val="0D0D0D"/>
                <w:sz w:val="24"/>
                <w:lang w:val="en-US"/>
              </w:rPr>
              <w:t>调试</w:t>
            </w:r>
          </w:p>
        </w:tc>
        <w:tc>
          <w:tcPr>
            <w:tcW w:w="4678" w:type="dxa"/>
            <w:vAlign w:val="center"/>
          </w:tcPr>
          <w:p>
            <w:pPr>
              <w:pStyle w:val="17"/>
              <w:spacing w:line="287" w:lineRule="exact"/>
              <w:rPr>
                <w:sz w:val="24"/>
                <w:lang w:val="en-US"/>
              </w:rPr>
            </w:pPr>
            <w:r>
              <w:rPr>
                <w:rFonts w:hint="eastAsia"/>
                <w:sz w:val="24"/>
                <w:lang w:val="en-US"/>
              </w:rPr>
              <w:t>能调试通变频器、</w:t>
            </w:r>
            <w:r>
              <w:rPr>
                <w:sz w:val="24"/>
                <w:lang w:val="en-US"/>
              </w:rPr>
              <w:t>PLC、气动控制系统、伺服控制系统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restart"/>
            <w:tcBorders>
              <w:top w:val="single" w:color="auto" w:sz="4" w:space="0"/>
            </w:tcBorders>
            <w:vAlign w:val="center"/>
          </w:tcPr>
          <w:p>
            <w:pPr>
              <w:pStyle w:val="17"/>
              <w:spacing w:before="208" w:line="242" w:lineRule="auto"/>
              <w:ind w:right="103"/>
              <w:jc w:val="center"/>
              <w:rPr>
                <w:highlight w:val="yellow"/>
              </w:rPr>
            </w:pPr>
            <w:r>
              <w:rPr>
                <w:rFonts w:hint="eastAsia"/>
                <w:color w:val="0D0D0D"/>
                <w:sz w:val="24"/>
                <w:lang w:val="en-US"/>
              </w:rPr>
              <w:t>配置云平台并实现智能预警</w:t>
            </w:r>
          </w:p>
        </w:tc>
        <w:tc>
          <w:tcPr>
            <w:tcW w:w="2126" w:type="dxa"/>
            <w:tcBorders>
              <w:top w:val="single" w:color="auto" w:sz="4" w:space="0"/>
            </w:tcBorders>
            <w:vAlign w:val="center"/>
          </w:tcPr>
          <w:p>
            <w:pPr>
              <w:pStyle w:val="17"/>
              <w:spacing w:line="242" w:lineRule="auto"/>
              <w:ind w:right="65"/>
              <w:jc w:val="center"/>
              <w:rPr>
                <w:rFonts w:hint="default" w:eastAsia="仿宋"/>
                <w:color w:val="0D0D0D"/>
                <w:sz w:val="24"/>
                <w:lang w:val="en-US" w:eastAsia="zh-CN"/>
              </w:rPr>
            </w:pPr>
            <w:r>
              <w:rPr>
                <w:rFonts w:hint="eastAsia"/>
                <w:color w:val="0D0D0D"/>
                <w:sz w:val="24"/>
                <w:lang w:val="en-US" w:eastAsia="zh-CN"/>
              </w:rPr>
              <w:t>设备通讯</w:t>
            </w:r>
          </w:p>
        </w:tc>
        <w:tc>
          <w:tcPr>
            <w:tcW w:w="4678" w:type="dxa"/>
            <w:vAlign w:val="center"/>
          </w:tcPr>
          <w:p>
            <w:pPr>
              <w:pStyle w:val="17"/>
              <w:spacing w:line="287" w:lineRule="exact"/>
              <w:rPr>
                <w:color w:val="0D0D0D"/>
                <w:sz w:val="24"/>
                <w:lang w:val="en-US"/>
              </w:rPr>
            </w:pPr>
            <w:r>
              <w:rPr>
                <w:rFonts w:hint="eastAsia"/>
                <w:color w:val="0D0D0D"/>
                <w:sz w:val="24"/>
                <w:lang w:val="en-US"/>
              </w:rPr>
              <w:t>实现传感器实训装置、桌面级生产线、各类模块与网络设备连接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423" w:type="dxa"/>
            <w:vMerge w:val="continue"/>
            <w:vAlign w:val="center"/>
          </w:tcPr>
          <w:p>
            <w:pPr>
              <w:jc w:val="center"/>
              <w:rPr>
                <w:highlight w:val="yellow"/>
              </w:rPr>
            </w:pPr>
          </w:p>
        </w:tc>
        <w:tc>
          <w:tcPr>
            <w:tcW w:w="2126" w:type="dxa"/>
            <w:vAlign w:val="center"/>
          </w:tcPr>
          <w:p>
            <w:pPr>
              <w:pStyle w:val="17"/>
              <w:spacing w:line="242" w:lineRule="auto"/>
              <w:ind w:right="65"/>
              <w:jc w:val="center"/>
              <w:rPr>
                <w:color w:val="0D0D0D"/>
                <w:sz w:val="24"/>
                <w:lang w:val="en-US"/>
              </w:rPr>
            </w:pPr>
            <w:r>
              <w:rPr>
                <w:rFonts w:hint="eastAsia"/>
                <w:color w:val="0D0D0D"/>
                <w:sz w:val="24"/>
                <w:lang w:val="en-US"/>
              </w:rPr>
              <w:t>软件配置</w:t>
            </w:r>
          </w:p>
        </w:tc>
        <w:tc>
          <w:tcPr>
            <w:tcW w:w="4678" w:type="dxa"/>
            <w:vAlign w:val="center"/>
          </w:tcPr>
          <w:p>
            <w:pPr>
              <w:pStyle w:val="17"/>
              <w:spacing w:line="287" w:lineRule="exact"/>
              <w:rPr>
                <w:color w:val="0D0D0D"/>
                <w:sz w:val="24"/>
                <w:lang w:val="en-US"/>
              </w:rPr>
            </w:pPr>
            <w:r>
              <w:rPr>
                <w:rFonts w:hint="eastAsia"/>
                <w:color w:val="0D0D0D"/>
                <w:sz w:val="24"/>
                <w:lang w:val="en-US"/>
              </w:rPr>
              <w:t>1.实现传感器实训考核装置与</w:t>
            </w:r>
            <w:r>
              <w:rPr>
                <w:rFonts w:hint="eastAsia"/>
                <w:color w:val="0D0D0D"/>
                <w:sz w:val="24"/>
                <w:lang w:val="en-US" w:eastAsia="zh-CN"/>
              </w:rPr>
              <w:t>幻联</w:t>
            </w:r>
            <w:r>
              <w:rPr>
                <w:color w:val="0D0D0D"/>
                <w:sz w:val="24"/>
                <w:lang w:val="en-US"/>
              </w:rPr>
              <w:t>通信</w:t>
            </w:r>
          </w:p>
          <w:p>
            <w:pPr>
              <w:pStyle w:val="17"/>
              <w:spacing w:line="287" w:lineRule="exact"/>
              <w:rPr>
                <w:color w:val="0D0D0D"/>
                <w:sz w:val="24"/>
                <w:lang w:val="en-US"/>
              </w:rPr>
            </w:pPr>
            <w:r>
              <w:rPr>
                <w:rFonts w:hint="eastAsia"/>
                <w:color w:val="0D0D0D"/>
                <w:sz w:val="24"/>
                <w:lang w:val="en-US"/>
              </w:rPr>
              <w:t>2.</w:t>
            </w:r>
            <w:r>
              <w:rPr>
                <w:color w:val="0D0D0D"/>
                <w:sz w:val="24"/>
                <w:lang w:val="en-US"/>
              </w:rPr>
              <w:t>桌面级产线与</w:t>
            </w:r>
            <w:r>
              <w:rPr>
                <w:rFonts w:hint="eastAsia"/>
                <w:color w:val="0D0D0D"/>
                <w:sz w:val="24"/>
                <w:lang w:val="en-US" w:eastAsia="zh-CN"/>
              </w:rPr>
              <w:t>幻联</w:t>
            </w:r>
            <w:r>
              <w:rPr>
                <w:color w:val="0D0D0D"/>
                <w:sz w:val="24"/>
                <w:lang w:val="en-US"/>
              </w:rPr>
              <w:t>通信</w:t>
            </w:r>
          </w:p>
          <w:p>
            <w:pPr>
              <w:pStyle w:val="17"/>
              <w:spacing w:line="287" w:lineRule="exact"/>
              <w:rPr>
                <w:color w:val="0D0D0D"/>
                <w:sz w:val="24"/>
                <w:lang w:val="en-US"/>
              </w:rPr>
            </w:pPr>
            <w:r>
              <w:rPr>
                <w:rFonts w:hint="eastAsia"/>
                <w:color w:val="0D0D0D"/>
                <w:sz w:val="24"/>
                <w:lang w:val="en-US"/>
              </w:rPr>
              <w:t>3.其他</w:t>
            </w:r>
            <w:r>
              <w:rPr>
                <w:color w:val="0D0D0D"/>
                <w:sz w:val="24"/>
                <w:lang w:val="en-US"/>
              </w:rPr>
              <w:t>各对象模块与</w:t>
            </w:r>
            <w:r>
              <w:rPr>
                <w:rFonts w:hint="eastAsia"/>
                <w:color w:val="0D0D0D"/>
                <w:sz w:val="24"/>
                <w:lang w:val="en-US" w:eastAsia="zh-CN"/>
              </w:rPr>
              <w:t>幻联</w:t>
            </w:r>
            <w:r>
              <w:rPr>
                <w:color w:val="0D0D0D"/>
                <w:sz w:val="24"/>
                <w:lang w:val="en-US"/>
              </w:rPr>
              <w:t>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23" w:type="dxa"/>
            <w:vMerge w:val="continue"/>
            <w:tcBorders>
              <w:bottom w:val="single" w:color="auto" w:sz="4" w:space="0"/>
            </w:tcBorders>
            <w:vAlign w:val="center"/>
          </w:tcPr>
          <w:p>
            <w:pPr>
              <w:jc w:val="center"/>
              <w:rPr>
                <w:highlight w:val="yellow"/>
              </w:rPr>
            </w:pPr>
          </w:p>
        </w:tc>
        <w:tc>
          <w:tcPr>
            <w:tcW w:w="2126" w:type="dxa"/>
            <w:vAlign w:val="center"/>
          </w:tcPr>
          <w:p>
            <w:pPr>
              <w:pStyle w:val="17"/>
              <w:spacing w:line="242" w:lineRule="auto"/>
              <w:ind w:right="65"/>
              <w:jc w:val="center"/>
              <w:rPr>
                <w:color w:val="0D0D0D"/>
                <w:sz w:val="24"/>
                <w:lang w:val="en-US"/>
              </w:rPr>
            </w:pPr>
            <w:r>
              <w:rPr>
                <w:rFonts w:hint="eastAsia"/>
                <w:color w:val="0D0D0D"/>
                <w:sz w:val="24"/>
                <w:lang w:val="en-US"/>
              </w:rPr>
              <w:t>智能预警</w:t>
            </w:r>
          </w:p>
        </w:tc>
        <w:tc>
          <w:tcPr>
            <w:tcW w:w="4678" w:type="dxa"/>
            <w:vAlign w:val="center"/>
          </w:tcPr>
          <w:p>
            <w:pPr>
              <w:pStyle w:val="17"/>
              <w:spacing w:line="287" w:lineRule="exact"/>
              <w:rPr>
                <w:color w:val="0D0D0D"/>
                <w:sz w:val="24"/>
                <w:lang w:val="en-US"/>
              </w:rPr>
            </w:pPr>
            <w:r>
              <w:rPr>
                <w:rFonts w:hint="eastAsia"/>
                <w:color w:val="0D0D0D"/>
                <w:sz w:val="24"/>
                <w:lang w:val="en-US"/>
              </w:rPr>
              <w:t>1.能在</w:t>
            </w:r>
            <w:r>
              <w:rPr>
                <w:rFonts w:hint="eastAsia"/>
                <w:color w:val="0D0D0D"/>
                <w:sz w:val="24"/>
                <w:lang w:val="en-US" w:eastAsia="zh-CN"/>
              </w:rPr>
              <w:t>幻联</w:t>
            </w:r>
            <w:r>
              <w:rPr>
                <w:color w:val="0D0D0D"/>
                <w:sz w:val="24"/>
                <w:lang w:val="en-US"/>
              </w:rPr>
              <w:t>平台进行采集数据的预警值设备</w:t>
            </w:r>
          </w:p>
          <w:p>
            <w:pPr>
              <w:pStyle w:val="17"/>
              <w:spacing w:line="287" w:lineRule="exact"/>
              <w:rPr>
                <w:color w:val="0D0D0D"/>
                <w:sz w:val="24"/>
                <w:lang w:val="en-US"/>
              </w:rPr>
            </w:pPr>
            <w:r>
              <w:rPr>
                <w:rFonts w:hint="eastAsia"/>
                <w:color w:val="0D0D0D"/>
                <w:sz w:val="24"/>
                <w:lang w:val="en-US"/>
              </w:rPr>
              <w:t>2.</w:t>
            </w:r>
            <w:r>
              <w:rPr>
                <w:color w:val="0D0D0D"/>
                <w:sz w:val="24"/>
                <w:lang w:val="en-US"/>
              </w:rPr>
              <w:t>能设置工单自动预警</w:t>
            </w:r>
          </w:p>
        </w:tc>
      </w:tr>
    </w:tbl>
    <w:p>
      <w:pPr>
        <w:pStyle w:val="3"/>
        <w:spacing w:before="163" w:line="360" w:lineRule="auto"/>
        <w:ind w:left="0" w:firstLineChars="200"/>
      </w:pPr>
    </w:p>
    <w:p>
      <w:pPr>
        <w:pStyle w:val="4"/>
        <w:ind w:left="0"/>
      </w:pPr>
      <w:r>
        <w:t>四、竞赛方式</w:t>
      </w:r>
    </w:p>
    <w:p>
      <w:pPr>
        <w:pStyle w:val="5"/>
        <w:spacing w:before="214" w:line="360" w:lineRule="auto"/>
        <w:ind w:left="0"/>
      </w:pPr>
      <w:r>
        <w:rPr>
          <w:color w:val="0D0D0D"/>
        </w:rPr>
        <w:t>（一）竞赛人员构成</w:t>
      </w:r>
    </w:p>
    <w:p>
      <w:pPr>
        <w:pStyle w:val="3"/>
        <w:spacing w:before="163" w:line="360" w:lineRule="auto"/>
        <w:ind w:left="0" w:firstLineChars="200"/>
      </w:pPr>
      <w:r>
        <w:t>竞赛以团队方式进行，每支参赛队</w:t>
      </w:r>
      <w:r>
        <w:rPr>
          <w:rFonts w:hint="eastAsia"/>
        </w:rPr>
        <w:t>由3名</w:t>
      </w:r>
      <w:r>
        <w:t>选手组成，</w:t>
      </w:r>
      <w:r>
        <w:rPr>
          <w:rFonts w:hint="eastAsia"/>
        </w:rPr>
        <w:t>每个参赛队指定</w:t>
      </w:r>
      <w:r>
        <w:t>队长1名</w:t>
      </w:r>
      <w:r>
        <w:rPr>
          <w:rFonts w:hint="eastAsia"/>
        </w:rPr>
        <w:t>、1~</w:t>
      </w:r>
      <w:r>
        <w:t>2名指导教师。参赛选手为高职</w:t>
      </w:r>
      <w:r>
        <w:rPr>
          <w:rFonts w:hint="eastAsia"/>
        </w:rPr>
        <w:t>/</w:t>
      </w:r>
      <w:r>
        <w:t>中职</w:t>
      </w:r>
      <w:r>
        <w:rPr>
          <w:rFonts w:hint="eastAsia"/>
        </w:rPr>
        <w:t>（四、五年级）</w:t>
      </w:r>
      <w:r>
        <w:t>在籍学生，性别不限。</w:t>
      </w:r>
    </w:p>
    <w:p>
      <w:pPr>
        <w:pStyle w:val="5"/>
        <w:spacing w:before="158"/>
        <w:ind w:left="0"/>
      </w:pPr>
      <w:r>
        <w:rPr>
          <w:color w:val="0D0D0D"/>
        </w:rPr>
        <w:t>（二）竞赛时间安排</w:t>
      </w:r>
    </w:p>
    <w:p>
      <w:pPr>
        <w:pStyle w:val="3"/>
        <w:spacing w:before="163" w:line="360" w:lineRule="auto"/>
        <w:ind w:left="0" w:firstLineChars="200"/>
      </w:pPr>
      <w:r>
        <w:t>本赛项设</w:t>
      </w:r>
      <w:r>
        <w:rPr>
          <w:rFonts w:hint="eastAsia"/>
        </w:rPr>
        <w:t>两个</w:t>
      </w:r>
      <w:r>
        <w:t>场次，</w:t>
      </w:r>
      <w:r>
        <w:rPr>
          <w:rFonts w:hint="eastAsia"/>
        </w:rPr>
        <w:t>赛题由专家组组长从题库中抽取，</w:t>
      </w:r>
      <w:r>
        <w:t>所有参赛队按照指定时间完成比赛任务，</w:t>
      </w:r>
      <w:r>
        <w:rPr>
          <w:rFonts w:hint="eastAsia"/>
        </w:rPr>
        <w:t>每场</w:t>
      </w:r>
      <w:r>
        <w:t>竞赛时长</w:t>
      </w:r>
      <w:r>
        <w:rPr>
          <w:rFonts w:hint="eastAsia"/>
          <w:lang w:val="en-US" w:eastAsia="zh-CN"/>
        </w:rPr>
        <w:t>2</w:t>
      </w:r>
      <w:r>
        <w:t xml:space="preserve"> 小时。参赛选手在现场根据给定的项目任务</w:t>
      </w:r>
      <w:r>
        <w:rPr>
          <w:rFonts w:hint="eastAsia"/>
        </w:rPr>
        <w:t>书</w:t>
      </w:r>
      <w:r>
        <w:t>，</w:t>
      </w:r>
      <w:r>
        <w:rPr>
          <w:rFonts w:hint="eastAsia"/>
        </w:rPr>
        <w:t>团队自行分工</w:t>
      </w:r>
      <w:r>
        <w:t>完成</w:t>
      </w:r>
      <w:r>
        <w:rPr>
          <w:rFonts w:hint="eastAsia"/>
          <w:lang w:val="en-US" w:eastAsia="zh-CN"/>
        </w:rPr>
        <w:t>三个任务，其中包含</w:t>
      </w:r>
      <w:r>
        <w:rPr>
          <w:rFonts w:hint="eastAsia"/>
        </w:rPr>
        <w:t>传感器选择安装</w:t>
      </w:r>
      <w:r>
        <w:rPr>
          <w:rFonts w:hint="eastAsia"/>
          <w:lang w:eastAsia="zh-CN"/>
        </w:rPr>
        <w:t>，</w:t>
      </w:r>
      <w:r>
        <w:rPr>
          <w:rFonts w:hint="eastAsia"/>
        </w:rPr>
        <w:t>核心部件</w:t>
      </w:r>
      <w:r>
        <w:rPr>
          <w:rFonts w:hint="eastAsia"/>
          <w:lang w:val="en-US" w:eastAsia="zh-CN"/>
        </w:rPr>
        <w:t>数据采集</w:t>
      </w:r>
      <w:r>
        <w:rPr>
          <w:rFonts w:hint="eastAsia"/>
        </w:rPr>
        <w:t>和</w:t>
      </w:r>
      <w:r>
        <w:rPr>
          <w:rFonts w:hint="eastAsia"/>
          <w:lang w:val="en-US" w:eastAsia="zh-CN"/>
        </w:rPr>
        <w:t>数据上云及数据分析等相关知识点</w:t>
      </w:r>
      <w:r>
        <w:t>，并保证整个团队并行开发和调试。</w:t>
      </w:r>
    </w:p>
    <w:p>
      <w:pPr>
        <w:pStyle w:val="5"/>
        <w:spacing w:line="307" w:lineRule="exact"/>
        <w:ind w:left="0"/>
      </w:pPr>
      <w:r>
        <w:rPr>
          <w:color w:val="0D0D0D"/>
        </w:rPr>
        <w:t>（三）竞赛评分</w:t>
      </w:r>
    </w:p>
    <w:p>
      <w:pPr>
        <w:pStyle w:val="3"/>
        <w:spacing w:before="163" w:line="360" w:lineRule="auto"/>
        <w:ind w:left="0" w:firstLineChars="200"/>
        <w:rPr>
          <w:shd w:val="clear" w:color="auto" w:fill="FFFF00"/>
        </w:rPr>
      </w:pPr>
      <w:r>
        <w:rPr>
          <w:rFonts w:hint="eastAsia"/>
        </w:rPr>
        <w:t>由赛项裁判组负责评分，最终成绩由过程评分和比赛用时两部分组成。过程评分主要考核整个比赛过程的准确度和完善度，比赛用时为完成整个赛程任务的用时。过程评分作为主要的评分依据，赛时评分作为辅助评分依据（当所有过程完全满足或完成任务相同时，赛时评分生效）。所有评分材料须由相应评分裁判签字和裁判长确认。赛项名次按比赛成绩由高到低排列</w:t>
      </w:r>
      <w:r>
        <w:rPr>
          <w:rFonts w:hint="eastAsia"/>
          <w:shd w:val="clear" w:color="auto" w:fill="auto"/>
        </w:rPr>
        <w:t>。</w:t>
      </w:r>
    </w:p>
    <w:p>
      <w:pPr>
        <w:pStyle w:val="4"/>
        <w:spacing w:before="51"/>
        <w:ind w:left="0"/>
      </w:pPr>
      <w:r>
        <w:t>五、竞赛流程</w:t>
      </w:r>
    </w:p>
    <w:p>
      <w:pPr>
        <w:pStyle w:val="3"/>
        <w:spacing w:before="7"/>
        <w:ind w:left="0" w:firstLine="0"/>
        <w:rPr>
          <w:b/>
          <w:sz w:val="11"/>
        </w:rPr>
      </w:pPr>
    </w:p>
    <w:p>
      <w:pPr>
        <w:pStyle w:val="3"/>
        <w:ind w:left="0" w:firstLine="0"/>
        <w:jc w:val="center"/>
        <w:rPr>
          <w:lang w:val="en-US"/>
        </w:rPr>
      </w:pPr>
      <w:r>
        <w:object>
          <v:shape id="_x0000_i1025" o:spt="75" type="#_x0000_t75" style="height:319pt;width:415.5pt;" o:ole="t" filled="f" stroked="f" coordsize="21600,21600">
            <v:path/>
            <v:fill on="f" focussize="0,0"/>
            <v:stroke on="f" joinstyle="miter"/>
            <v:imagedata r:id="rId7" embosscolor="#FFFFFF" o:title=""/>
            <o:lock v:ext="edit" aspectratio="t"/>
            <w10:wrap type="none"/>
            <w10:anchorlock/>
          </v:shape>
          <o:OLEObject Type="Embed" ProgID="Visio.Drawing.15" ShapeID="_x0000_i1025" DrawAspect="Content" ObjectID="_1468075725" r:id="rId6">
            <o:LockedField>false</o:LockedField>
          </o:OLEObject>
        </w:object>
      </w:r>
    </w:p>
    <w:p>
      <w:pPr>
        <w:jc w:val="center"/>
        <w:rPr>
          <w:lang w:val="en-US"/>
        </w:rPr>
      </w:pPr>
      <w:r>
        <w:rPr>
          <w:lang w:val="en-US"/>
        </w:rPr>
        <w:t>图 1 竞赛流程图</w:t>
      </w:r>
    </w:p>
    <w:p>
      <w:pPr>
        <w:pStyle w:val="3"/>
        <w:spacing w:before="8"/>
        <w:ind w:left="0" w:firstLine="0"/>
        <w:rPr>
          <w:b/>
          <w:sz w:val="28"/>
        </w:rPr>
      </w:pPr>
    </w:p>
    <w:p>
      <w:pPr>
        <w:spacing w:before="1"/>
        <w:rPr>
          <w:b/>
          <w:sz w:val="28"/>
        </w:rPr>
      </w:pPr>
      <w:r>
        <w:rPr>
          <w:b/>
          <w:sz w:val="28"/>
        </w:rPr>
        <w:t>六、竞赛规则</w:t>
      </w:r>
    </w:p>
    <w:p>
      <w:pPr>
        <w:pStyle w:val="16"/>
        <w:numPr>
          <w:ilvl w:val="0"/>
          <w:numId w:val="1"/>
        </w:numPr>
        <w:spacing w:before="137"/>
        <w:rPr>
          <w:b/>
          <w:sz w:val="24"/>
        </w:rPr>
      </w:pPr>
      <w:r>
        <w:rPr>
          <w:b/>
          <w:sz w:val="24"/>
        </w:rPr>
        <w:t>竞赛报名</w:t>
      </w:r>
    </w:p>
    <w:p>
      <w:pPr>
        <w:pStyle w:val="3"/>
        <w:spacing w:before="163" w:line="360" w:lineRule="auto"/>
        <w:ind w:left="0" w:firstLineChars="200"/>
      </w:pPr>
      <w:r>
        <w:rPr>
          <w:rFonts w:hint="eastAsia"/>
        </w:rPr>
        <w:t>1.各中高职院校按照大赛组委会规定的报名要求，通过“全国行业职业院校技能大赛网络报名系统”报名参赛。</w:t>
      </w:r>
    </w:p>
    <w:p>
      <w:pPr>
        <w:pStyle w:val="3"/>
        <w:spacing w:before="163" w:line="360" w:lineRule="auto"/>
        <w:ind w:left="0" w:firstLineChars="200"/>
      </w:pPr>
      <w:r>
        <w:rPr>
          <w:rFonts w:hint="eastAsia"/>
        </w:rPr>
        <w:t>2.参赛对象为全日制普通高等职业院校在校生和五年制高职四至五年级在校生。</w:t>
      </w:r>
    </w:p>
    <w:p>
      <w:pPr>
        <w:pStyle w:val="3"/>
        <w:spacing w:before="163" w:line="360" w:lineRule="auto"/>
        <w:ind w:left="0" w:firstLineChars="200"/>
      </w:pPr>
      <w:r>
        <w:rPr>
          <w:rFonts w:hint="eastAsia"/>
        </w:rPr>
        <w:t>3.每个学校限报一支参赛队，不得跨校组队，每组3名参赛选手，指定1~2名指导教师。参赛选手和指导教师报名，获得确认后不得随意更换。比赛前参赛选手和指导教师因故无法参赛，须由学校在相应赛项开赛前 10 个工作日出具书面说明，并按参赛选手资格补充人员并接受审核，经大赛组办方同意后予以更换。</w:t>
      </w:r>
    </w:p>
    <w:p>
      <w:pPr>
        <w:pStyle w:val="5"/>
        <w:spacing w:line="306" w:lineRule="exact"/>
        <w:ind w:left="0"/>
      </w:pPr>
      <w:r>
        <w:t>（二）熟悉场地</w:t>
      </w:r>
    </w:p>
    <w:p>
      <w:pPr>
        <w:pStyle w:val="3"/>
        <w:spacing w:before="163" w:line="360" w:lineRule="auto"/>
        <w:ind w:left="0" w:firstLineChars="200"/>
      </w:pPr>
      <w:r>
        <w:rPr>
          <w:rFonts w:hint="eastAsia"/>
        </w:rPr>
        <w:t>1.各参赛队统一有序的熟悉场地，熟悉场地时限定在指定区域，不允许进入比赛区。</w:t>
      </w:r>
    </w:p>
    <w:p>
      <w:pPr>
        <w:pStyle w:val="3"/>
        <w:spacing w:before="163" w:line="360" w:lineRule="auto"/>
        <w:ind w:left="0" w:firstLineChars="200"/>
      </w:pPr>
      <w:r>
        <w:rPr>
          <w:rFonts w:hint="eastAsia"/>
        </w:rPr>
        <w:t>2.熟悉场地时严禁与现场工作人员进行交流，不发表没有根据以及有损大赛整体形象的言论。</w:t>
      </w:r>
    </w:p>
    <w:p>
      <w:pPr>
        <w:pStyle w:val="3"/>
        <w:spacing w:before="163" w:line="360" w:lineRule="auto"/>
        <w:ind w:left="0" w:firstLineChars="200"/>
      </w:pPr>
      <w:r>
        <w:rPr>
          <w:rFonts w:hint="eastAsia"/>
        </w:rPr>
        <w:t>3.熟悉场地时严格遵守大赛各种制度，严禁拥挤，喧哗，以免发生意外事故。</w:t>
      </w:r>
    </w:p>
    <w:p>
      <w:pPr>
        <w:pStyle w:val="5"/>
        <w:spacing w:line="306" w:lineRule="exact"/>
        <w:ind w:left="0"/>
      </w:pPr>
      <w:r>
        <w:t>（三）入场规则</w:t>
      </w:r>
    </w:p>
    <w:p>
      <w:pPr>
        <w:pStyle w:val="3"/>
        <w:spacing w:before="163" w:line="360" w:lineRule="auto"/>
        <w:ind w:left="0" w:firstLineChars="200"/>
      </w:pPr>
      <w:r>
        <w:rPr>
          <w:rFonts w:hint="eastAsia"/>
        </w:rPr>
        <w:t>1.</w:t>
      </w:r>
      <w:r>
        <w:t>参赛选手按规定的时间准时到达赛场检录区集合。</w:t>
      </w:r>
    </w:p>
    <w:p>
      <w:pPr>
        <w:pStyle w:val="3"/>
        <w:spacing w:before="163" w:line="360" w:lineRule="auto"/>
        <w:ind w:left="0" w:firstLineChars="200"/>
      </w:pPr>
      <w:r>
        <w:rPr>
          <w:rFonts w:hint="eastAsia"/>
        </w:rPr>
        <w:t>2.</w:t>
      </w:r>
      <w:r>
        <w:t>裁判将对各参赛选手的身份进行核对。参赛选手须提供参赛证、身份证、经学校注册的学生证，证件上的姓名、年龄、相貌特征应与参赛证一致。</w:t>
      </w:r>
    </w:p>
    <w:p>
      <w:pPr>
        <w:pStyle w:val="3"/>
        <w:spacing w:before="163" w:line="360" w:lineRule="auto"/>
        <w:ind w:left="0" w:firstLineChars="200"/>
      </w:pPr>
      <w:r>
        <w:rPr>
          <w:rFonts w:hint="eastAsia"/>
        </w:rPr>
        <w:t>3.</w:t>
      </w:r>
      <w:r>
        <w:t>裁判检验参赛选手的工具、量具及书写物品，不允许携带任何通讯及存储设备、纸质材料等物品，检查合格后进入赛场抽签区。</w:t>
      </w:r>
    </w:p>
    <w:p>
      <w:pPr>
        <w:pStyle w:val="5"/>
        <w:spacing w:line="360" w:lineRule="auto"/>
        <w:ind w:left="0"/>
      </w:pPr>
      <w:r>
        <w:t>（四）赛场规则</w:t>
      </w:r>
    </w:p>
    <w:p>
      <w:pPr>
        <w:pStyle w:val="3"/>
        <w:spacing w:before="163" w:line="360" w:lineRule="auto"/>
        <w:ind w:left="0" w:firstLineChars="200"/>
      </w:pPr>
      <w:r>
        <w:rPr>
          <w:rFonts w:hint="eastAsia"/>
        </w:rPr>
        <w:t>1.</w:t>
      </w:r>
      <w:r>
        <w:t>选手进入赛场后，必须听从现场裁判的统一布置和指挥。</w:t>
      </w:r>
    </w:p>
    <w:p>
      <w:pPr>
        <w:pStyle w:val="3"/>
        <w:spacing w:before="163" w:line="360" w:lineRule="auto"/>
        <w:ind w:left="0" w:firstLineChars="200"/>
      </w:pPr>
      <w:r>
        <w:rPr>
          <w:rFonts w:hint="eastAsia"/>
        </w:rPr>
        <w:t>2.</w:t>
      </w:r>
      <w:r>
        <w:t>分发比赛任务书后的 10 分钟，选手检查赛场环境及相关软硬件设备， 填写</w:t>
      </w:r>
      <w:r>
        <w:rPr>
          <w:rFonts w:hint="eastAsia"/>
        </w:rPr>
        <w:t>赛前</w:t>
      </w:r>
      <w:r>
        <w:t>环境检查表，不可使用工具进行比赛任务的操作。</w:t>
      </w:r>
    </w:p>
    <w:p>
      <w:pPr>
        <w:pStyle w:val="3"/>
        <w:spacing w:before="163" w:line="360" w:lineRule="auto"/>
        <w:ind w:left="0" w:firstLineChars="200"/>
      </w:pPr>
      <w:r>
        <w:rPr>
          <w:rFonts w:hint="eastAsia"/>
        </w:rPr>
        <w:t>3.</w:t>
      </w:r>
      <w:r>
        <w:t>现场裁判宣布比赛开始，参赛选手才能进行动手完成竞赛比赛任务的操作。</w:t>
      </w:r>
    </w:p>
    <w:p>
      <w:pPr>
        <w:pStyle w:val="3"/>
        <w:spacing w:before="163" w:line="360" w:lineRule="auto"/>
        <w:ind w:left="0" w:firstLineChars="200"/>
      </w:pPr>
      <w:r>
        <w:rPr>
          <w:rFonts w:hint="eastAsia"/>
        </w:rPr>
        <w:t>4.</w:t>
      </w:r>
      <w:r>
        <w:t>过程中，参赛选手必须严格遵守安全操作规程，确保人身和设备安全，并接受现场裁判和技术人员的监督和警示。</w:t>
      </w:r>
    </w:p>
    <w:p>
      <w:pPr>
        <w:pStyle w:val="3"/>
        <w:spacing w:before="163" w:line="360" w:lineRule="auto"/>
        <w:ind w:left="0" w:firstLineChars="200"/>
      </w:pPr>
      <w:r>
        <w:rPr>
          <w:rFonts w:hint="eastAsia"/>
        </w:rPr>
        <w:t>5.</w:t>
      </w:r>
      <w:r>
        <w:t>比赛过程中若有任务书字迹不清问题，可示意现场裁判，由现场裁判解决。若认为比赛设备有问题需更换，应经现场裁判和技术人员检验赛场后，填写记录表予以更换。</w:t>
      </w:r>
    </w:p>
    <w:p>
      <w:pPr>
        <w:pStyle w:val="3"/>
        <w:spacing w:before="163" w:line="360" w:lineRule="auto"/>
        <w:ind w:left="0" w:firstLineChars="200"/>
      </w:pPr>
      <w:r>
        <w:rPr>
          <w:rFonts w:hint="eastAsia"/>
        </w:rPr>
        <w:t>6.</w:t>
      </w:r>
      <w:r>
        <w:t>经现场裁判和技术人员检验，确因设备故障或损坏而更换设备者，从报告现场裁判到完成更换之间的用时，为比赛补时时间。</w:t>
      </w:r>
    </w:p>
    <w:p>
      <w:pPr>
        <w:pStyle w:val="3"/>
        <w:spacing w:before="163" w:line="360" w:lineRule="auto"/>
        <w:ind w:left="0" w:firstLineChars="200"/>
      </w:pPr>
      <w:r>
        <w:rPr>
          <w:rFonts w:hint="eastAsia"/>
        </w:rPr>
        <w:t>7.</w:t>
      </w:r>
      <w:r>
        <w:t>比赛过程中选手不得随意离开工位，不得与其他参赛队</w:t>
      </w:r>
      <w:r>
        <w:rPr>
          <w:rFonts w:hint="eastAsia"/>
        </w:rPr>
        <w:t>的</w:t>
      </w:r>
      <w:r>
        <w:t>选手和人员交流。</w:t>
      </w:r>
    </w:p>
    <w:p>
      <w:pPr>
        <w:pStyle w:val="3"/>
        <w:spacing w:before="163" w:line="360" w:lineRule="auto"/>
        <w:ind w:left="0" w:firstLineChars="200"/>
      </w:pPr>
      <w:r>
        <w:rPr>
          <w:rFonts w:hint="eastAsia"/>
        </w:rPr>
        <w:t>8.</w:t>
      </w:r>
      <w:r>
        <w:t>比赛过程中，严重违反赛场纪律影响他人比赛者，违反操作规程不听劝告者，越界影响他人者，有意损坏赛场设备或设施者，经现场裁判报告裁判长， 经大赛组委会办公室同意后，由裁判长宣布取消其比赛资格。</w:t>
      </w:r>
    </w:p>
    <w:p>
      <w:pPr>
        <w:pStyle w:val="5"/>
        <w:spacing w:before="9"/>
        <w:ind w:left="0"/>
      </w:pPr>
      <w:r>
        <w:t>（五）离场规则</w:t>
      </w:r>
    </w:p>
    <w:p>
      <w:pPr>
        <w:pStyle w:val="3"/>
        <w:spacing w:before="163" w:line="360" w:lineRule="auto"/>
        <w:ind w:left="0" w:firstLineChars="200"/>
      </w:pPr>
      <w:r>
        <w:rPr>
          <w:rFonts w:hint="eastAsia"/>
        </w:rPr>
        <w:t>1.</w:t>
      </w:r>
      <w:r>
        <w:t>比赛结束前 15 分钟，裁判长提示一次比赛剩余时间。</w:t>
      </w:r>
    </w:p>
    <w:p>
      <w:pPr>
        <w:pStyle w:val="3"/>
        <w:spacing w:before="163" w:line="360" w:lineRule="auto"/>
        <w:ind w:left="0" w:firstLineChars="200"/>
      </w:pPr>
      <w:r>
        <w:rPr>
          <w:rFonts w:hint="eastAsia"/>
        </w:rPr>
        <w:t>2.</w:t>
      </w:r>
      <w:r>
        <w:t>比赛结束信号给出，由裁判长宣布终止比赛。</w:t>
      </w:r>
    </w:p>
    <w:p>
      <w:pPr>
        <w:pStyle w:val="3"/>
        <w:spacing w:before="163" w:line="360" w:lineRule="auto"/>
        <w:ind w:left="0" w:firstLineChars="200"/>
      </w:pPr>
      <w:r>
        <w:rPr>
          <w:rFonts w:hint="eastAsia"/>
        </w:rPr>
        <w:t>3.</w:t>
      </w:r>
      <w:r>
        <w:t>裁判长宣布终止比赛时，选手应停止竞赛任务的操作。竞赛任务书、赛场记录表等整齐摆放在工作台上，不能带出赛场。整理比赛工位及其周边的清洁， 使之符合职业规范。</w:t>
      </w:r>
    </w:p>
    <w:p>
      <w:pPr>
        <w:pStyle w:val="3"/>
        <w:spacing w:before="163" w:line="360" w:lineRule="auto"/>
        <w:ind w:left="0" w:firstLineChars="200"/>
      </w:pPr>
      <w:r>
        <w:rPr>
          <w:rFonts w:hint="eastAsia"/>
        </w:rPr>
        <w:t>4.</w:t>
      </w:r>
      <w:r>
        <w:t>裁判长宣布终止比赛后，现场裁判组织、监督选手退出工位，站在工位边的过道上。裁判长宣布离场时，现场裁判指挥选手统一离开赛场。</w:t>
      </w:r>
    </w:p>
    <w:p>
      <w:pPr>
        <w:pStyle w:val="3"/>
        <w:spacing w:before="163" w:line="360" w:lineRule="auto"/>
        <w:ind w:left="0" w:firstLineChars="200"/>
      </w:pPr>
      <w:r>
        <w:rPr>
          <w:rFonts w:hint="eastAsia"/>
        </w:rPr>
        <w:t>5.</w:t>
      </w:r>
      <w:r>
        <w:t>全部选手离场后，需要补时的选手重新进入工位，现场裁判宣布补时操作开始后，补时选手开始操作。现场裁判宣布补时时间到，选手应停止操作，离开赛场。</w:t>
      </w:r>
    </w:p>
    <w:p>
      <w:pPr>
        <w:pStyle w:val="5"/>
        <w:ind w:left="0"/>
      </w:pPr>
      <w:r>
        <w:t>（六）成绩评定与管理规则</w:t>
      </w:r>
    </w:p>
    <w:p>
      <w:pPr>
        <w:pStyle w:val="3"/>
        <w:spacing w:before="163" w:line="360" w:lineRule="auto"/>
        <w:ind w:left="0" w:firstLineChars="200"/>
      </w:pPr>
      <w:r>
        <w:rPr>
          <w:rFonts w:hint="eastAsia"/>
        </w:rPr>
        <w:t>1.</w:t>
      </w:r>
      <w:r>
        <w:t>成绩管理的机构及分工</w:t>
      </w:r>
    </w:p>
    <w:p>
      <w:pPr>
        <w:pStyle w:val="3"/>
        <w:spacing w:before="163" w:line="360" w:lineRule="auto"/>
        <w:ind w:left="0" w:firstLineChars="200"/>
      </w:pPr>
      <w:r>
        <w:t>成绩管理机构由裁判组和仲裁组组成。裁判在大赛裁判库中随机抽取，仲裁组由大赛组委会办公室指派。</w:t>
      </w:r>
    </w:p>
    <w:p>
      <w:pPr>
        <w:pStyle w:val="3"/>
        <w:spacing w:before="163" w:line="360" w:lineRule="auto"/>
        <w:ind w:left="0" w:firstLineChars="200"/>
      </w:pPr>
      <w:r>
        <w:t>裁判组实行“裁判长负责制”，设裁判长 1 名，全面负责赛项的裁判分工、裁判评分审核、处理比赛中出现的争议问题等工作。</w:t>
      </w:r>
    </w:p>
    <w:p>
      <w:pPr>
        <w:pStyle w:val="3"/>
        <w:spacing w:before="163" w:line="360" w:lineRule="auto"/>
        <w:ind w:left="0" w:firstLineChars="200"/>
      </w:pPr>
      <w:r>
        <w:t>裁判员根据比赛需要分为检录裁判、加密裁判、现场裁判和评分裁判。检录裁判：负责对参赛队伍（选手）进行点名登记、身份核对等工作；加密裁判：负责组织参赛队伍（选手）抽签，对参赛队信息、抽签等进行加密；现场裁判：按规定做好赛场记录，维护赛场纪律，评定参赛队的过程得分； 评分裁判：负责对参赛队</w:t>
      </w:r>
      <w:r>
        <w:rPr>
          <w:rFonts w:hint="eastAsia"/>
        </w:rPr>
        <w:t>完成赛程任务过程及赛时情况</w:t>
      </w:r>
      <w:r>
        <w:t>按评分细则评定成绩。</w:t>
      </w:r>
    </w:p>
    <w:p>
      <w:pPr>
        <w:pStyle w:val="3"/>
        <w:spacing w:before="163" w:line="360" w:lineRule="auto"/>
        <w:ind w:left="0" w:firstLineChars="200"/>
      </w:pPr>
      <w:r>
        <w:t>仲裁组负责接受由参赛队领队提出的对裁判结果的申诉，组织复议并及时反馈复议结果。</w:t>
      </w:r>
    </w:p>
    <w:p>
      <w:pPr>
        <w:pStyle w:val="3"/>
        <w:spacing w:before="163" w:line="360" w:lineRule="auto"/>
        <w:ind w:left="0" w:firstLineChars="200"/>
      </w:pPr>
      <w:r>
        <w:rPr>
          <w:rFonts w:hint="eastAsia"/>
        </w:rPr>
        <w:t>2.</w:t>
      </w:r>
      <w:r>
        <w:t>成绩管理流程</w:t>
      </w:r>
    </w:p>
    <w:p>
      <w:pPr>
        <w:pStyle w:val="3"/>
        <w:spacing w:before="3"/>
        <w:ind w:left="0" w:firstLine="0"/>
      </w:pPr>
    </w:p>
    <w:p>
      <w:pPr>
        <w:jc w:val="center"/>
      </w:pPr>
      <w:r>
        <w:rPr>
          <w:lang w:val="en-US" w:bidi="ar-SA"/>
        </w:rPr>
        <w:drawing>
          <wp:inline distT="0" distB="0" distL="0" distR="0">
            <wp:extent cx="1860550" cy="3143250"/>
            <wp:effectExtent l="0" t="0" r="6350" b="0"/>
            <wp:docPr id="1028" name="图片 33"/>
            <wp:cNvGraphicFramePr/>
            <a:graphic xmlns:a="http://schemas.openxmlformats.org/drawingml/2006/main">
              <a:graphicData uri="http://schemas.openxmlformats.org/drawingml/2006/picture">
                <pic:pic xmlns:pic="http://schemas.openxmlformats.org/drawingml/2006/picture">
                  <pic:nvPicPr>
                    <pic:cNvPr id="1028" name="图片 33"/>
                    <pic:cNvPicPr/>
                  </pic:nvPicPr>
                  <pic:blipFill>
                    <a:blip r:embed="rId8" cstate="print"/>
                    <a:srcRect/>
                    <a:stretch>
                      <a:fillRect/>
                    </a:stretch>
                  </pic:blipFill>
                  <pic:spPr>
                    <a:xfrm>
                      <a:off x="0" y="0"/>
                      <a:ext cx="1860550" cy="3143250"/>
                    </a:xfrm>
                    <a:prstGeom prst="rect">
                      <a:avLst/>
                    </a:prstGeom>
                    <a:ln>
                      <a:noFill/>
                    </a:ln>
                  </pic:spPr>
                </pic:pic>
              </a:graphicData>
            </a:graphic>
          </wp:inline>
        </w:drawing>
      </w:r>
    </w:p>
    <w:p>
      <w:pPr>
        <w:tabs>
          <w:tab w:val="center" w:pos="5665"/>
        </w:tabs>
        <w:jc w:val="center"/>
      </w:pPr>
      <w:r>
        <w:rPr>
          <w:spacing w:val="-28"/>
        </w:rPr>
        <w:t xml:space="preserve">图 </w:t>
      </w:r>
      <w:r>
        <w:rPr>
          <w:rFonts w:ascii="Times New Roman" w:eastAsia="Times New Roman"/>
        </w:rPr>
        <w:t>2</w:t>
      </w:r>
      <w:r>
        <w:rPr>
          <w:rFonts w:ascii="Times New Roman" w:eastAsia="Times New Roman"/>
          <w:spacing w:val="55"/>
        </w:rPr>
        <w:t xml:space="preserve"> </w:t>
      </w:r>
      <w:r>
        <w:t>成绩管理流程图</w:t>
      </w:r>
    </w:p>
    <w:p>
      <w:pPr>
        <w:pStyle w:val="3"/>
        <w:spacing w:before="163" w:line="360" w:lineRule="auto"/>
        <w:ind w:left="0" w:firstLineChars="200"/>
      </w:pPr>
      <w:r>
        <w:rPr>
          <w:rFonts w:hint="eastAsia"/>
        </w:rPr>
        <w:t>3.</w:t>
      </w:r>
      <w:r>
        <w:t>比赛成绩评定</w:t>
      </w:r>
    </w:p>
    <w:p>
      <w:pPr>
        <w:pStyle w:val="3"/>
        <w:spacing w:before="163" w:line="360" w:lineRule="auto"/>
        <w:ind w:left="0" w:firstLineChars="200"/>
      </w:pPr>
      <w:r>
        <w:t>本赛项采用结果评分，由评分裁判依据评分表，对参赛选手</w:t>
      </w:r>
      <w:r>
        <w:rPr>
          <w:rFonts w:hint="eastAsia"/>
        </w:rPr>
        <w:t>完成赛程任务过程及赛时情况</w:t>
      </w:r>
      <w:r>
        <w:t>进行评分。</w:t>
      </w:r>
    </w:p>
    <w:p>
      <w:pPr>
        <w:pStyle w:val="3"/>
        <w:spacing w:before="163" w:line="360" w:lineRule="auto"/>
        <w:ind w:left="0" w:firstLineChars="200"/>
      </w:pPr>
      <w:r>
        <w:rPr>
          <w:rFonts w:hint="eastAsia"/>
        </w:rPr>
        <w:t>4.</w:t>
      </w:r>
      <w:r>
        <w:t>解密</w:t>
      </w:r>
    </w:p>
    <w:p>
      <w:pPr>
        <w:pStyle w:val="3"/>
        <w:spacing w:before="163" w:line="360" w:lineRule="auto"/>
        <w:ind w:left="0" w:firstLineChars="200"/>
      </w:pPr>
      <w:r>
        <w:t>裁判长正式提交工位号评分结果并复核无误后，加密裁判在监督人员监督下对加密结果进行逐层解密。</w:t>
      </w:r>
    </w:p>
    <w:p>
      <w:pPr>
        <w:pStyle w:val="3"/>
        <w:spacing w:before="163" w:line="360" w:lineRule="auto"/>
        <w:ind w:left="0" w:firstLineChars="200"/>
      </w:pPr>
      <w:r>
        <w:rPr>
          <w:rFonts w:hint="eastAsia"/>
        </w:rPr>
        <w:t>5.</w:t>
      </w:r>
      <w:r>
        <w:t>成绩公布</w:t>
      </w:r>
    </w:p>
    <w:p>
      <w:pPr>
        <w:pStyle w:val="3"/>
        <w:spacing w:before="163" w:line="360" w:lineRule="auto"/>
        <w:ind w:left="0" w:firstLineChars="200"/>
      </w:pPr>
      <w:r>
        <w:t>将解密后的各参赛队结果汇总，经裁判长、监督员和专家组长签字后，在成绩发布会上公布。</w:t>
      </w:r>
    </w:p>
    <w:p>
      <w:pPr>
        <w:pStyle w:val="4"/>
        <w:spacing w:before="46"/>
        <w:ind w:left="0"/>
      </w:pPr>
      <w:r>
        <w:t>七、竞赛环境</w:t>
      </w:r>
    </w:p>
    <w:p>
      <w:pPr>
        <w:pStyle w:val="5"/>
        <w:spacing w:before="215"/>
        <w:ind w:left="0"/>
      </w:pPr>
      <w:r>
        <w:t>（一）赛场布局要求</w:t>
      </w:r>
    </w:p>
    <w:p>
      <w:pPr>
        <w:pStyle w:val="3"/>
        <w:spacing w:before="163" w:line="360" w:lineRule="auto"/>
        <w:ind w:left="0" w:firstLineChars="200"/>
      </w:pPr>
      <w:r>
        <w:t>竞赛场地包括参赛选手竞赛区域、裁判区域。</w:t>
      </w:r>
    </w:p>
    <w:p>
      <w:pPr>
        <w:pStyle w:val="3"/>
        <w:spacing w:before="163" w:line="360" w:lineRule="auto"/>
        <w:ind w:left="0" w:firstLineChars="200"/>
      </w:pPr>
      <w:r>
        <w:rPr>
          <w:rFonts w:hint="eastAsia"/>
        </w:rPr>
        <w:t>1.</w:t>
      </w:r>
      <w:r>
        <w:t xml:space="preserve">参赛选手竞赛区域。每个竞赛工位标有醒目的工位编号，考虑疫情因素，每个赛位面积约 </w:t>
      </w:r>
      <w:r>
        <w:rPr>
          <w:rFonts w:hint="eastAsia"/>
        </w:rPr>
        <w:t>10</w:t>
      </w:r>
      <w:r>
        <w:t>㎡，并标有醒目的工位编号，确保参赛队之间互不干扰。每个赛位</w:t>
      </w:r>
      <w:bookmarkStart w:id="2" w:name="_Toc23174"/>
      <w:bookmarkStart w:id="3" w:name="_Toc18085"/>
      <w:r>
        <w:rPr>
          <w:rFonts w:hint="eastAsia"/>
        </w:rPr>
        <w:t>由传感器实训考核平台、桌面级自动化产线、各对象模块（传感器对象、可编程控制器单元模块、伺服控制单元、气动控制系统单元）、相关配件（网络设备、计算机、网关设备等）配置组成</w:t>
      </w:r>
      <w:bookmarkEnd w:id="2"/>
      <w:bookmarkEnd w:id="3"/>
      <w:r>
        <w:t>。</w:t>
      </w:r>
    </w:p>
    <w:p>
      <w:pPr>
        <w:pStyle w:val="3"/>
        <w:spacing w:before="163" w:line="360" w:lineRule="auto"/>
        <w:ind w:left="0" w:firstLineChars="200"/>
      </w:pPr>
      <w:r>
        <w:rPr>
          <w:rFonts w:hint="eastAsia"/>
        </w:rPr>
        <w:t>2.</w:t>
      </w:r>
      <w:r>
        <w:t>裁判区域。供裁判休息及工作场地。共配电脑 2 台，A4 激光打印机 1 台。</w:t>
      </w:r>
    </w:p>
    <w:p>
      <w:pPr>
        <w:pStyle w:val="5"/>
        <w:spacing w:before="164"/>
        <w:ind w:left="0"/>
      </w:pPr>
      <w:r>
        <w:t>（二）赛场选手安全防护要求</w:t>
      </w:r>
    </w:p>
    <w:p>
      <w:pPr>
        <w:pStyle w:val="3"/>
        <w:spacing w:before="163" w:line="360" w:lineRule="auto"/>
        <w:ind w:left="0" w:firstLineChars="200"/>
      </w:pPr>
      <w:r>
        <w:rPr>
          <w:rFonts w:hint="eastAsia"/>
        </w:rPr>
        <w:t>1.</w:t>
      </w:r>
      <w:r>
        <w:t>参赛选手应严格遵守设备安全操作规程。</w:t>
      </w:r>
    </w:p>
    <w:p>
      <w:pPr>
        <w:pStyle w:val="3"/>
        <w:spacing w:before="163" w:line="360" w:lineRule="auto"/>
        <w:ind w:left="0" w:firstLineChars="200"/>
      </w:pPr>
      <w:r>
        <w:rPr>
          <w:rFonts w:hint="eastAsia"/>
        </w:rPr>
        <w:t>2.</w:t>
      </w:r>
      <w:r>
        <w:t>参赛选手停止操作时，应保证设备的正常运行，比赛结束后，所有设备保持运行状态，不要拆、动硬件连接，确保设备正常运行和正常评分。</w:t>
      </w:r>
    </w:p>
    <w:p>
      <w:pPr>
        <w:pStyle w:val="3"/>
        <w:spacing w:before="163" w:line="360" w:lineRule="auto"/>
        <w:ind w:left="0" w:firstLineChars="200"/>
      </w:pPr>
      <w:r>
        <w:rPr>
          <w:rFonts w:hint="eastAsia"/>
        </w:rPr>
        <w:t>3.</w:t>
      </w:r>
      <w:r>
        <w:t>参赛选手应保证设备和信息完整及安全。</w:t>
      </w:r>
    </w:p>
    <w:p>
      <w:pPr>
        <w:pStyle w:val="4"/>
        <w:spacing w:before="209"/>
        <w:ind w:left="0"/>
      </w:pPr>
      <w:r>
        <w:t>八、技术规范</w:t>
      </w:r>
    </w:p>
    <w:p>
      <w:pPr>
        <w:pStyle w:val="3"/>
        <w:spacing w:before="163" w:line="360" w:lineRule="auto"/>
        <w:ind w:left="0" w:firstLineChars="200"/>
      </w:pPr>
      <w:r>
        <w:t>按照《全国职业院校技能大赛赛项规程编制要求》，结合企业职业岗位对人才培养需求，并参照表 2 中相关国家职业标准制定。参赛代表队在实施竞赛项目</w:t>
      </w:r>
      <w:r>
        <w:rPr>
          <w:rFonts w:hint="eastAsia"/>
        </w:rPr>
        <w:t>中要求遵循如下规范。</w:t>
      </w:r>
    </w:p>
    <w:p>
      <w:pPr>
        <w:jc w:val="center"/>
      </w:pPr>
      <w:r>
        <w:rPr>
          <w:rFonts w:hint="eastAsia"/>
        </w:rPr>
        <w:t>表2</w:t>
      </w:r>
      <w:r>
        <w:t xml:space="preserve"> </w:t>
      </w:r>
      <w:r>
        <w:rPr>
          <w:rFonts w:hint="eastAsia"/>
        </w:rPr>
        <w:t>赛项相关国家职业标准</w:t>
      </w:r>
    </w:p>
    <w:tbl>
      <w:tblPr>
        <w:tblStyle w:val="12"/>
        <w:tblpPr w:leftFromText="180" w:rightFromText="180" w:vertAnchor="text" w:horzAnchor="page" w:tblpX="1746" w:tblpY="367"/>
        <w:tblOverlap w:val="never"/>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8"/>
        <w:gridCol w:w="3337"/>
        <w:gridCol w:w="3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58" w:type="dxa"/>
            <w:vAlign w:val="center"/>
          </w:tcPr>
          <w:p>
            <w:pPr>
              <w:pStyle w:val="17"/>
              <w:spacing w:before="4" w:line="288" w:lineRule="exact"/>
              <w:ind w:right="75"/>
              <w:jc w:val="center"/>
              <w:rPr>
                <w:b/>
                <w:szCs w:val="21"/>
              </w:rPr>
            </w:pPr>
            <w:r>
              <w:rPr>
                <w:b/>
                <w:color w:val="0D0D0D"/>
                <w:szCs w:val="21"/>
              </w:rPr>
              <w:t>序号</w:t>
            </w:r>
          </w:p>
        </w:tc>
        <w:tc>
          <w:tcPr>
            <w:tcW w:w="3337" w:type="dxa"/>
            <w:vAlign w:val="center"/>
          </w:tcPr>
          <w:p>
            <w:pPr>
              <w:pStyle w:val="17"/>
              <w:spacing w:before="4" w:line="288" w:lineRule="exact"/>
              <w:ind w:right="1277"/>
              <w:jc w:val="center"/>
              <w:rPr>
                <w:b/>
                <w:szCs w:val="21"/>
              </w:rPr>
            </w:pPr>
            <w:r>
              <w:rPr>
                <w:b/>
                <w:color w:val="0D0D0D"/>
                <w:szCs w:val="21"/>
              </w:rPr>
              <w:t>标准号</w:t>
            </w:r>
          </w:p>
        </w:tc>
        <w:tc>
          <w:tcPr>
            <w:tcW w:w="3774" w:type="dxa"/>
            <w:vAlign w:val="center"/>
          </w:tcPr>
          <w:p>
            <w:pPr>
              <w:pStyle w:val="17"/>
              <w:spacing w:before="4" w:line="288" w:lineRule="exact"/>
              <w:rPr>
                <w:b/>
                <w:szCs w:val="21"/>
              </w:rPr>
            </w:pPr>
            <w:r>
              <w:rPr>
                <w:b/>
                <w:color w:val="0D0D0D"/>
                <w:szCs w:val="21"/>
              </w:rPr>
              <w:t>中文标准名称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58" w:type="dxa"/>
            <w:vAlign w:val="center"/>
          </w:tcPr>
          <w:p>
            <w:pPr>
              <w:pStyle w:val="17"/>
              <w:spacing w:before="20" w:line="271" w:lineRule="exact"/>
              <w:jc w:val="center"/>
              <w:rPr>
                <w:rFonts w:ascii="Times New Roman"/>
                <w:szCs w:val="21"/>
              </w:rPr>
            </w:pPr>
            <w:r>
              <w:rPr>
                <w:rFonts w:ascii="Times New Roman"/>
                <w:color w:val="0D0D0D"/>
                <w:szCs w:val="21"/>
              </w:rPr>
              <w:t>1</w:t>
            </w:r>
          </w:p>
        </w:tc>
        <w:tc>
          <w:tcPr>
            <w:tcW w:w="3337" w:type="dxa"/>
            <w:vAlign w:val="center"/>
          </w:tcPr>
          <w:p>
            <w:pPr>
              <w:snapToGrid w:val="0"/>
              <w:spacing w:line="360" w:lineRule="auto"/>
              <w:jc w:val="center"/>
              <w:outlineLvl w:val="0"/>
              <w:rPr>
                <w:rFonts w:ascii="Times New Roman"/>
                <w:color w:val="0D0D0D"/>
                <w:szCs w:val="21"/>
              </w:rPr>
            </w:pPr>
            <w:r>
              <w:rPr>
                <w:rFonts w:hint="eastAsia" w:ascii="Times New Roman"/>
                <w:color w:val="0D0D0D"/>
                <w:szCs w:val="21"/>
              </w:rPr>
              <w:t>GB/T 30976.1-30976.2</w:t>
            </w:r>
          </w:p>
        </w:tc>
        <w:tc>
          <w:tcPr>
            <w:tcW w:w="3774" w:type="dxa"/>
            <w:vAlign w:val="center"/>
          </w:tcPr>
          <w:p>
            <w:pPr>
              <w:pStyle w:val="17"/>
              <w:spacing w:before="4" w:line="287" w:lineRule="exact"/>
              <w:jc w:val="center"/>
              <w:rPr>
                <w:rFonts w:ascii="Times New Roman"/>
                <w:color w:val="0D0D0D"/>
                <w:szCs w:val="21"/>
              </w:rPr>
            </w:pPr>
            <w:r>
              <w:rPr>
                <w:rFonts w:hint="eastAsia" w:ascii="Times New Roman"/>
                <w:color w:val="0D0D0D"/>
                <w:szCs w:val="21"/>
              </w:rPr>
              <w:t>工业控制系统信息安全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258" w:type="dxa"/>
            <w:vAlign w:val="center"/>
          </w:tcPr>
          <w:p>
            <w:pPr>
              <w:pStyle w:val="17"/>
              <w:spacing w:before="179"/>
              <w:jc w:val="center"/>
              <w:rPr>
                <w:rFonts w:ascii="Times New Roman"/>
                <w:szCs w:val="21"/>
              </w:rPr>
            </w:pPr>
            <w:r>
              <w:rPr>
                <w:rFonts w:ascii="Times New Roman"/>
                <w:color w:val="0D0D0D"/>
                <w:szCs w:val="21"/>
              </w:rPr>
              <w:t>2</w:t>
            </w:r>
          </w:p>
        </w:tc>
        <w:tc>
          <w:tcPr>
            <w:tcW w:w="3337" w:type="dxa"/>
            <w:vAlign w:val="center"/>
          </w:tcPr>
          <w:p>
            <w:pPr>
              <w:snapToGrid w:val="0"/>
              <w:spacing w:line="360" w:lineRule="auto"/>
              <w:jc w:val="center"/>
              <w:outlineLvl w:val="0"/>
              <w:rPr>
                <w:rFonts w:ascii="Times New Roman"/>
                <w:color w:val="0D0D0D"/>
                <w:szCs w:val="21"/>
              </w:rPr>
            </w:pPr>
            <w:r>
              <w:rPr>
                <w:rFonts w:hint="eastAsia" w:ascii="Times New Roman"/>
                <w:color w:val="0D0D0D"/>
                <w:szCs w:val="21"/>
              </w:rPr>
              <w:t>GB/T 5465.2-1996</w:t>
            </w:r>
          </w:p>
        </w:tc>
        <w:tc>
          <w:tcPr>
            <w:tcW w:w="3774" w:type="dxa"/>
            <w:vAlign w:val="center"/>
          </w:tcPr>
          <w:p>
            <w:pPr>
              <w:pStyle w:val="17"/>
              <w:spacing w:before="2" w:line="310" w:lineRule="atLeast"/>
              <w:ind w:right="164"/>
              <w:jc w:val="center"/>
              <w:rPr>
                <w:rFonts w:ascii="Times New Roman"/>
                <w:color w:val="0D0D0D"/>
                <w:szCs w:val="21"/>
              </w:rPr>
            </w:pPr>
            <w:r>
              <w:rPr>
                <w:rFonts w:hint="eastAsia" w:ascii="Times New Roman"/>
                <w:color w:val="0D0D0D"/>
                <w:szCs w:val="21"/>
              </w:rPr>
              <w:t>电气设备用图形符号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8" w:type="dxa"/>
            <w:vAlign w:val="center"/>
          </w:tcPr>
          <w:p>
            <w:pPr>
              <w:pStyle w:val="17"/>
              <w:spacing w:before="54"/>
              <w:jc w:val="center"/>
              <w:rPr>
                <w:rFonts w:ascii="Times New Roman"/>
                <w:szCs w:val="21"/>
              </w:rPr>
            </w:pPr>
            <w:r>
              <w:rPr>
                <w:rFonts w:ascii="Times New Roman"/>
                <w:color w:val="0D0D0D"/>
                <w:szCs w:val="21"/>
              </w:rPr>
              <w:t>3</w:t>
            </w:r>
          </w:p>
        </w:tc>
        <w:tc>
          <w:tcPr>
            <w:tcW w:w="3337" w:type="dxa"/>
            <w:vAlign w:val="center"/>
          </w:tcPr>
          <w:p>
            <w:pPr>
              <w:snapToGrid w:val="0"/>
              <w:spacing w:line="360" w:lineRule="auto"/>
              <w:jc w:val="center"/>
              <w:outlineLvl w:val="0"/>
              <w:rPr>
                <w:rFonts w:ascii="Times New Roman"/>
                <w:color w:val="0D0D0D"/>
                <w:szCs w:val="21"/>
              </w:rPr>
            </w:pPr>
            <w:r>
              <w:rPr>
                <w:rFonts w:hint="eastAsia" w:ascii="Times New Roman"/>
                <w:color w:val="0D0D0D"/>
                <w:szCs w:val="21"/>
              </w:rPr>
              <w:t>GB 5226.1-2002</w:t>
            </w:r>
          </w:p>
        </w:tc>
        <w:tc>
          <w:tcPr>
            <w:tcW w:w="3774" w:type="dxa"/>
            <w:vAlign w:val="center"/>
          </w:tcPr>
          <w:p>
            <w:pPr>
              <w:pStyle w:val="17"/>
              <w:spacing w:before="38"/>
              <w:jc w:val="center"/>
              <w:rPr>
                <w:rFonts w:ascii="Times New Roman"/>
                <w:color w:val="0D0D0D"/>
                <w:szCs w:val="21"/>
              </w:rPr>
            </w:pPr>
            <w:r>
              <w:rPr>
                <w:rFonts w:hint="eastAsia" w:ascii="Times New Roman"/>
                <w:color w:val="0D0D0D"/>
                <w:szCs w:val="21"/>
              </w:rPr>
              <w:t>机械安全 机械电气设备 第1部分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8" w:type="dxa"/>
            <w:vAlign w:val="center"/>
          </w:tcPr>
          <w:p>
            <w:pPr>
              <w:pStyle w:val="17"/>
              <w:spacing w:before="179"/>
              <w:jc w:val="center"/>
              <w:rPr>
                <w:rFonts w:ascii="Times New Roman"/>
                <w:szCs w:val="21"/>
              </w:rPr>
            </w:pPr>
            <w:r>
              <w:rPr>
                <w:rFonts w:ascii="Times New Roman"/>
                <w:color w:val="0D0D0D"/>
                <w:szCs w:val="21"/>
              </w:rPr>
              <w:t>4</w:t>
            </w:r>
          </w:p>
        </w:tc>
        <w:tc>
          <w:tcPr>
            <w:tcW w:w="3337" w:type="dxa"/>
            <w:vAlign w:val="center"/>
          </w:tcPr>
          <w:p>
            <w:pPr>
              <w:pStyle w:val="17"/>
              <w:spacing w:before="20" w:line="271" w:lineRule="exact"/>
              <w:jc w:val="center"/>
              <w:rPr>
                <w:rFonts w:ascii="Times New Roman" w:eastAsia="仿宋_GB2312"/>
                <w:color w:val="0D0D0D"/>
                <w:szCs w:val="21"/>
              </w:rPr>
            </w:pPr>
            <w:r>
              <w:rPr>
                <w:rFonts w:hint="eastAsia" w:ascii="Times New Roman"/>
                <w:color w:val="0D0D0D"/>
                <w:szCs w:val="21"/>
              </w:rPr>
              <w:t>6-23-10-01（职业编码 ）</w:t>
            </w:r>
          </w:p>
        </w:tc>
        <w:tc>
          <w:tcPr>
            <w:tcW w:w="3774" w:type="dxa"/>
            <w:vAlign w:val="center"/>
          </w:tcPr>
          <w:p>
            <w:pPr>
              <w:pStyle w:val="17"/>
              <w:spacing w:before="20" w:line="271" w:lineRule="exact"/>
              <w:jc w:val="center"/>
              <w:rPr>
                <w:rFonts w:ascii="Times New Roman"/>
                <w:color w:val="0D0D0D"/>
                <w:szCs w:val="21"/>
              </w:rPr>
            </w:pPr>
            <w:r>
              <w:rPr>
                <w:rFonts w:hint="eastAsia" w:ascii="Times New Roman"/>
                <w:color w:val="0D0D0D"/>
                <w:szCs w:val="21"/>
              </w:rPr>
              <w:t>机械设备安装工国家职业标准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8" w:type="dxa"/>
            <w:vAlign w:val="center"/>
          </w:tcPr>
          <w:p>
            <w:pPr>
              <w:pStyle w:val="17"/>
              <w:spacing w:before="179"/>
              <w:jc w:val="center"/>
              <w:rPr>
                <w:rFonts w:ascii="Times New Roman"/>
                <w:szCs w:val="21"/>
              </w:rPr>
            </w:pPr>
            <w:r>
              <w:rPr>
                <w:rFonts w:ascii="Times New Roman"/>
                <w:color w:val="0D0D0D"/>
                <w:szCs w:val="21"/>
              </w:rPr>
              <w:t>5</w:t>
            </w:r>
          </w:p>
        </w:tc>
        <w:tc>
          <w:tcPr>
            <w:tcW w:w="3337" w:type="dxa"/>
            <w:vAlign w:val="center"/>
          </w:tcPr>
          <w:p>
            <w:pPr>
              <w:pStyle w:val="17"/>
              <w:spacing w:before="20" w:line="271" w:lineRule="exact"/>
              <w:jc w:val="center"/>
              <w:rPr>
                <w:rFonts w:ascii="Times New Roman"/>
                <w:color w:val="0D0D0D"/>
                <w:szCs w:val="21"/>
              </w:rPr>
            </w:pPr>
            <w:r>
              <w:rPr>
                <w:rFonts w:hint="eastAsia" w:ascii="Times New Roman"/>
                <w:color w:val="0D0D0D"/>
                <w:szCs w:val="21"/>
              </w:rPr>
              <w:t>6-23-10-02（职业编码 ）</w:t>
            </w:r>
          </w:p>
        </w:tc>
        <w:tc>
          <w:tcPr>
            <w:tcW w:w="3774" w:type="dxa"/>
            <w:vAlign w:val="center"/>
          </w:tcPr>
          <w:p>
            <w:pPr>
              <w:pStyle w:val="17"/>
              <w:spacing w:before="20" w:line="271" w:lineRule="exact"/>
              <w:jc w:val="center"/>
              <w:rPr>
                <w:rFonts w:ascii="Times New Roman"/>
                <w:color w:val="0D0D0D"/>
                <w:szCs w:val="21"/>
              </w:rPr>
            </w:pPr>
            <w:r>
              <w:rPr>
                <w:rFonts w:hint="eastAsia" w:ascii="Times New Roman"/>
                <w:color w:val="0D0D0D"/>
                <w:szCs w:val="21"/>
              </w:rPr>
              <w:t>电气设备安装工国家职业标准</w:t>
            </w:r>
          </w:p>
        </w:tc>
      </w:tr>
    </w:tbl>
    <w:p>
      <w:pPr>
        <w:pStyle w:val="4"/>
        <w:spacing w:before="209"/>
        <w:ind w:left="0"/>
      </w:pPr>
      <w:r>
        <w:rPr>
          <w:rFonts w:hint="eastAsia"/>
        </w:rPr>
        <w:t>九、技术平台</w:t>
      </w:r>
    </w:p>
    <w:p>
      <w:pPr>
        <w:pStyle w:val="2"/>
        <w:ind w:left="0" w:firstLine="0" w:firstLineChars="0"/>
        <w:rPr>
          <w:lang w:val="en-US"/>
        </w:rPr>
      </w:pPr>
    </w:p>
    <w:p>
      <w:pPr>
        <w:pStyle w:val="3"/>
        <w:spacing w:before="163" w:line="360" w:lineRule="auto"/>
        <w:ind w:left="0" w:firstLineChars="200"/>
      </w:pPr>
      <w:r>
        <w:rPr>
          <w:rFonts w:hint="eastAsia"/>
        </w:rPr>
        <w:t>根据《工业互联网预测性维护》中级教材研发制造，同时该设备包含初级所有对象模块，既能满足学生正常实训（实训并不限于工业互联网实训）、同时也能逐步提升学生对符合现企业职业技能需求人才的能力要求。</w:t>
      </w:r>
    </w:p>
    <w:p>
      <w:pPr>
        <w:pStyle w:val="3"/>
        <w:spacing w:before="163" w:line="360" w:lineRule="auto"/>
        <w:ind w:left="0" w:firstLineChars="200"/>
        <w:rPr>
          <w:rFonts w:hint="eastAsia"/>
          <w:lang w:eastAsia="zh-CN"/>
        </w:rPr>
      </w:pPr>
      <w:r>
        <w:rPr>
          <w:rFonts w:hint="eastAsia"/>
        </w:rPr>
        <w:t>该装置为实现真正考核与教学实训并兼顾职业技能大赛训练多用性，对所有单元均采用独立化设计，同时在基础设计上，增添了很多创新性功能</w:t>
      </w:r>
      <w:r>
        <w:rPr>
          <w:rFonts w:hint="eastAsia"/>
          <w:lang w:eastAsia="zh-CN"/>
        </w:rPr>
        <w:t>。</w:t>
      </w:r>
    </w:p>
    <w:p>
      <w:pPr>
        <w:pStyle w:val="3"/>
        <w:spacing w:before="163" w:line="360" w:lineRule="auto"/>
        <w:ind w:left="0" w:firstLineChars="200"/>
      </w:pPr>
      <w:bookmarkStart w:id="4" w:name="_Toc28310"/>
      <w:bookmarkStart w:id="5" w:name="_Toc18115"/>
      <w:bookmarkStart w:id="6" w:name="_Toc29095"/>
      <w:bookmarkStart w:id="7" w:name="_Toc29609"/>
      <w:bookmarkStart w:id="8" w:name="_Toc57899546"/>
      <w:bookmarkStart w:id="9" w:name="_Toc14583"/>
      <w:bookmarkStart w:id="10" w:name="_Toc11151"/>
      <w:bookmarkStart w:id="11" w:name="_Toc1346"/>
      <w:bookmarkStart w:id="12" w:name="_Toc10680"/>
      <w:r>
        <w:rPr>
          <w:rFonts w:hint="eastAsia"/>
        </w:rPr>
        <w:t>（</w:t>
      </w:r>
      <w:r>
        <w:rPr>
          <w:rFonts w:hint="eastAsia"/>
          <w:lang w:val="en-US" w:eastAsia="zh-CN"/>
        </w:rPr>
        <w:t>一</w:t>
      </w:r>
      <w:r>
        <w:rPr>
          <w:rFonts w:hint="eastAsia"/>
        </w:rPr>
        <w:t>）技术指标</w:t>
      </w:r>
      <w:bookmarkEnd w:id="4"/>
      <w:bookmarkEnd w:id="5"/>
      <w:bookmarkEnd w:id="6"/>
      <w:bookmarkEnd w:id="7"/>
      <w:bookmarkEnd w:id="8"/>
      <w:bookmarkEnd w:id="9"/>
      <w:bookmarkEnd w:id="10"/>
      <w:bookmarkEnd w:id="11"/>
      <w:bookmarkEnd w:id="12"/>
      <w:r>
        <w:rPr>
          <w:rFonts w:hint="eastAsia"/>
        </w:rPr>
        <w:t>（基础）</w:t>
      </w:r>
    </w:p>
    <w:p>
      <w:pPr>
        <w:pStyle w:val="3"/>
        <w:spacing w:before="163" w:line="360" w:lineRule="auto"/>
        <w:ind w:left="0" w:firstLineChars="200"/>
        <w:rPr>
          <w:rFonts w:hint="eastAsia"/>
        </w:rPr>
      </w:pPr>
      <w:r>
        <w:rPr>
          <w:rFonts w:hint="eastAsia"/>
        </w:rPr>
        <w:t>工作环境：温度：-10℃～+40℃，相对湿度＜85%（25℃），海拔＜4000m。</w:t>
      </w:r>
    </w:p>
    <w:p>
      <w:pPr>
        <w:pStyle w:val="3"/>
        <w:spacing w:before="163" w:line="360" w:lineRule="auto"/>
        <w:ind w:left="0" w:firstLineChars="200"/>
        <w:rPr>
          <w:rFonts w:hint="eastAsia"/>
        </w:rPr>
      </w:pPr>
      <w:r>
        <w:rPr>
          <w:rFonts w:hint="eastAsia"/>
        </w:rPr>
        <w:t>输入电源：</w:t>
      </w:r>
      <w:r>
        <w:rPr>
          <w:rFonts w:hint="eastAsia"/>
          <w:lang w:val="en-US" w:eastAsia="zh-CN"/>
        </w:rPr>
        <w:t>三</w:t>
      </w:r>
      <w:r>
        <w:rPr>
          <w:rFonts w:hint="eastAsia"/>
        </w:rPr>
        <w:t>相</w:t>
      </w:r>
      <w:r>
        <w:rPr>
          <w:rFonts w:hint="eastAsia"/>
          <w:lang w:val="en-US" w:eastAsia="zh-CN"/>
        </w:rPr>
        <w:t>五</w:t>
      </w:r>
      <w:r>
        <w:rPr>
          <w:rFonts w:hint="eastAsia"/>
        </w:rPr>
        <w:t>线，AC220V±10% 50Hz，具有安全保护功能。</w:t>
      </w:r>
    </w:p>
    <w:p>
      <w:pPr>
        <w:pStyle w:val="3"/>
        <w:spacing w:before="163" w:line="360" w:lineRule="auto"/>
        <w:ind w:left="0" w:firstLineChars="200"/>
        <w:rPr>
          <w:rFonts w:hint="eastAsia"/>
        </w:rPr>
      </w:pPr>
      <w:r>
        <w:rPr>
          <w:rFonts w:hint="eastAsia"/>
        </w:rPr>
        <w:t>设备功率：＜1000VA。</w:t>
      </w:r>
    </w:p>
    <w:p>
      <w:pPr>
        <w:pStyle w:val="3"/>
        <w:spacing w:before="163" w:line="360" w:lineRule="auto"/>
        <w:ind w:left="0" w:firstLineChars="200"/>
        <w:rPr>
          <w:rFonts w:hint="eastAsia"/>
          <w:lang w:val="en-US" w:eastAsia="zh-CN"/>
        </w:rPr>
      </w:pPr>
      <w:r>
        <w:rPr>
          <w:rFonts w:hint="eastAsia"/>
          <w:lang w:val="en-US" w:eastAsia="zh-CN"/>
        </w:rPr>
        <w:t>实训平台尺寸：1270*700*1800mm</w:t>
      </w:r>
    </w:p>
    <w:p>
      <w:pPr>
        <w:pStyle w:val="3"/>
        <w:spacing w:before="163" w:line="360" w:lineRule="auto"/>
        <w:ind w:left="0" w:firstLineChars="200"/>
        <w:rPr>
          <w:rFonts w:hint="eastAsia"/>
          <w:lang w:val="de-DE" w:eastAsia="zh-CN"/>
        </w:rPr>
      </w:pPr>
      <w:r>
        <w:rPr>
          <w:rFonts w:hint="eastAsia"/>
          <w:lang w:val="en-US" w:eastAsia="zh-CN"/>
        </w:rPr>
        <w:t>桌面级自动化产线：1600*1000*1600mm</w:t>
      </w:r>
    </w:p>
    <w:p>
      <w:pPr>
        <w:pStyle w:val="3"/>
        <w:spacing w:before="163" w:line="360" w:lineRule="auto"/>
        <w:ind w:left="0" w:firstLineChars="200"/>
        <w:rPr>
          <w:rFonts w:hint="eastAsia"/>
          <w:lang w:val="de-DE" w:eastAsia="zh-CN"/>
        </w:rPr>
      </w:pPr>
      <w:r>
        <w:rPr>
          <w:rFonts w:hint="eastAsia"/>
          <w:lang w:val="en-US" w:eastAsia="zh-CN"/>
        </w:rPr>
        <w:t>电脑台尺寸：540*600*1200MM。</w:t>
      </w:r>
    </w:p>
    <w:p>
      <w:pPr>
        <w:pStyle w:val="3"/>
        <w:spacing w:before="163" w:line="360" w:lineRule="auto"/>
        <w:ind w:left="0" w:firstLineChars="200"/>
      </w:pPr>
      <w:r>
        <w:rPr>
          <w:rFonts w:hint="eastAsia"/>
        </w:rPr>
        <w:t>（</w:t>
      </w:r>
      <w:r>
        <w:rPr>
          <w:rFonts w:hint="eastAsia"/>
          <w:lang w:val="en-US" w:eastAsia="zh-CN"/>
        </w:rPr>
        <w:t>二</w:t>
      </w:r>
      <w:r>
        <w:rPr>
          <w:rFonts w:hint="eastAsia"/>
        </w:rPr>
        <w:t>）考核配置</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482" w:firstLineChars="200"/>
        <w:jc w:val="left"/>
        <w:outlineLvl w:val="3"/>
        <w:rPr>
          <w:rFonts w:hint="eastAsia" w:ascii="仿宋" w:hAnsi="仿宋" w:eastAsia="仿宋" w:cs="仿宋"/>
          <w:b/>
          <w:bCs/>
          <w:color w:val="333333"/>
          <w:kern w:val="0"/>
          <w:sz w:val="24"/>
          <w:szCs w:val="24"/>
          <w:shd w:val="clear" w:color="auto" w:fill="FFFFFF"/>
          <w:lang w:val="de-DE" w:eastAsia="zh-CN"/>
        </w:rPr>
      </w:pPr>
      <w:bookmarkStart w:id="13" w:name="_Toc29196"/>
      <w:bookmarkStart w:id="14" w:name="_Toc11013"/>
      <w:bookmarkStart w:id="15" w:name="_Toc8592"/>
      <w:bookmarkStart w:id="16" w:name="_Toc24758"/>
      <w:bookmarkStart w:id="17" w:name="_Toc11274"/>
      <w:bookmarkStart w:id="18" w:name="_Toc15895"/>
      <w:bookmarkStart w:id="19" w:name="_Toc28630"/>
      <w:bookmarkStart w:id="20" w:name="_Toc9495"/>
      <w:bookmarkStart w:id="21" w:name="_Toc20134"/>
      <w:bookmarkStart w:id="22" w:name="_Toc23498"/>
      <w:bookmarkStart w:id="23" w:name="_Toc8197"/>
      <w:bookmarkStart w:id="24" w:name="_Toc13725"/>
      <w:bookmarkStart w:id="25" w:name="_Toc15573"/>
      <w:bookmarkStart w:id="26" w:name="_Toc16360"/>
      <w:bookmarkStart w:id="27" w:name="_Toc20717"/>
      <w:bookmarkStart w:id="28" w:name="_Toc6272"/>
      <w:bookmarkStart w:id="29" w:name="_Toc30446"/>
      <w:bookmarkStart w:id="30" w:name="_Toc18703"/>
      <w:bookmarkStart w:id="31" w:name="_Toc9250"/>
      <w:bookmarkStart w:id="32" w:name="_Toc18074"/>
      <w:bookmarkStart w:id="33" w:name="_Toc31210"/>
      <w:bookmarkStart w:id="34" w:name="_Toc9032"/>
      <w:bookmarkStart w:id="35" w:name="_Toc24764"/>
      <w:bookmarkStart w:id="36" w:name="_Toc7735"/>
      <w:bookmarkStart w:id="37" w:name="_Toc3840"/>
      <w:bookmarkStart w:id="38" w:name="_Toc20451"/>
      <w:bookmarkStart w:id="39" w:name="_Toc29215"/>
      <w:bookmarkStart w:id="40" w:name="_Toc14524"/>
      <w:bookmarkStart w:id="41" w:name="_Toc25607"/>
      <w:r>
        <w:rPr>
          <w:rFonts w:hint="eastAsia" w:cs="仿宋"/>
          <w:b/>
          <w:bCs/>
          <w:color w:val="333333"/>
          <w:kern w:val="0"/>
          <w:sz w:val="24"/>
          <w:szCs w:val="24"/>
          <w:shd w:val="clear" w:color="auto" w:fill="FFFFFF"/>
          <w:lang w:val="en-US" w:eastAsia="zh-CN"/>
        </w:rPr>
        <w:t>1、</w:t>
      </w:r>
      <w:r>
        <w:rPr>
          <w:rFonts w:hint="eastAsia" w:ascii="仿宋" w:hAnsi="仿宋" w:eastAsia="仿宋" w:cs="仿宋"/>
          <w:b/>
          <w:bCs/>
          <w:color w:val="333333"/>
          <w:kern w:val="0"/>
          <w:sz w:val="24"/>
          <w:szCs w:val="24"/>
          <w:shd w:val="clear" w:color="auto" w:fill="FFFFFF"/>
          <w:lang w:val="en-US" w:eastAsia="zh-CN"/>
        </w:rPr>
        <w:t>实验</w:t>
      </w:r>
      <w:r>
        <w:rPr>
          <w:rFonts w:hint="eastAsia" w:ascii="仿宋" w:hAnsi="仿宋" w:eastAsia="仿宋" w:cs="仿宋"/>
          <w:b/>
          <w:bCs/>
          <w:color w:val="333333"/>
          <w:kern w:val="0"/>
          <w:sz w:val="24"/>
          <w:szCs w:val="24"/>
          <w:shd w:val="clear" w:color="auto" w:fill="FFFFFF"/>
          <w:lang w:val="de-DE" w:eastAsia="zh-CN"/>
        </w:rPr>
        <w:t>台</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仿宋" w:hAnsi="仿宋" w:cs="仿宋"/>
          <w:b/>
          <w:bCs/>
          <w:color w:val="333333"/>
          <w:kern w:val="0"/>
          <w:sz w:val="24"/>
          <w:szCs w:val="24"/>
          <w:shd w:val="clear" w:color="auto" w:fill="FFFFFF"/>
          <w:lang w:val="en-US" w:eastAsia="zh-CN"/>
        </w:rPr>
        <w:t>架</w:t>
      </w:r>
      <w:bookmarkEnd w:id="32"/>
      <w:bookmarkEnd w:id="33"/>
      <w:bookmarkEnd w:id="34"/>
      <w:bookmarkEnd w:id="35"/>
      <w:bookmarkEnd w:id="36"/>
      <w:bookmarkEnd w:id="37"/>
      <w:bookmarkEnd w:id="38"/>
      <w:bookmarkEnd w:id="39"/>
      <w:bookmarkEnd w:id="40"/>
      <w:bookmarkEnd w:id="41"/>
    </w:p>
    <w:p>
      <w:pPr>
        <w:pStyle w:val="2"/>
        <w:spacing w:line="360" w:lineRule="auto"/>
        <w:ind w:left="0" w:leftChars="0" w:firstLine="480" w:firstLineChars="200"/>
        <w:rPr>
          <w:rFonts w:hint="eastAsia" w:ascii="宋体" w:hAnsi="宋体" w:eastAsia="宋体" w:cs="宋体"/>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主体采用冷轧钢材经裁剪、组合、焊接而成。台架配有氛围效果灯光、包裹式环抱造型，同时表面通过酸洗、磷化后喷塑处理，具有防锈、绝缘的效果。下方设有</w:t>
      </w:r>
      <w:r>
        <w:rPr>
          <w:rFonts w:hint="eastAsia" w:ascii="仿宋" w:hAnsi="仿宋" w:eastAsia="仿宋" w:cs="仿宋"/>
          <w:kern w:val="0"/>
          <w:sz w:val="24"/>
          <w:szCs w:val="24"/>
          <w:shd w:val="clear" w:color="auto" w:fill="FFFFFF"/>
          <w:lang w:val="en-US" w:eastAsia="zh-CN"/>
        </w:rPr>
        <w:t>键盘抽屉，</w:t>
      </w:r>
      <w:r>
        <w:rPr>
          <w:rFonts w:hint="eastAsia" w:ascii="仿宋" w:hAnsi="仿宋" w:eastAsia="仿宋" w:cs="仿宋"/>
          <w:kern w:val="0"/>
          <w:sz w:val="24"/>
          <w:szCs w:val="24"/>
          <w:shd w:val="clear" w:color="auto" w:fill="FFFFFF"/>
          <w:lang w:val="de-DE" w:eastAsia="zh-CN"/>
        </w:rPr>
        <w:t>储物柜体。左侧需配有一体开放式存放空格（可放置主机、压缩机等），配有多范围的散热口，便于散热。装置底部设有4个带有上下可调一体式万向轮，便于移动和固定实训装置。整体结构美观、大气、造型别致，符合人体工程学，易操作。</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482" w:firstLineChars="200"/>
        <w:jc w:val="left"/>
        <w:outlineLvl w:val="3"/>
        <w:rPr>
          <w:rFonts w:hint="eastAsia" w:ascii="仿宋" w:hAnsi="仿宋" w:eastAsia="仿宋" w:cs="仿宋"/>
          <w:b/>
          <w:bCs/>
          <w:color w:val="333333"/>
          <w:kern w:val="0"/>
          <w:sz w:val="24"/>
          <w:szCs w:val="24"/>
          <w:shd w:val="clear" w:color="auto" w:fill="FFFFFF"/>
          <w:lang w:val="en-US" w:eastAsia="zh-CN"/>
        </w:rPr>
      </w:pPr>
      <w:bookmarkStart w:id="42" w:name="_Toc8016"/>
      <w:bookmarkStart w:id="43" w:name="_Toc7749"/>
      <w:bookmarkStart w:id="44" w:name="_Toc20592"/>
      <w:bookmarkStart w:id="45" w:name="_Toc15466"/>
      <w:bookmarkStart w:id="46" w:name="_Toc7938"/>
      <w:bookmarkStart w:id="47" w:name="_Toc6318"/>
      <w:bookmarkStart w:id="48" w:name="_Toc28614"/>
      <w:bookmarkStart w:id="49" w:name="_Toc1299"/>
      <w:bookmarkStart w:id="50" w:name="_Toc17575"/>
      <w:bookmarkStart w:id="51" w:name="_Toc4521"/>
      <w:bookmarkStart w:id="52" w:name="_Toc25560"/>
      <w:bookmarkStart w:id="53" w:name="_Toc2258"/>
      <w:bookmarkStart w:id="54" w:name="_Toc20694"/>
      <w:bookmarkStart w:id="55" w:name="_Toc2564"/>
      <w:bookmarkStart w:id="56" w:name="_Toc29040"/>
      <w:bookmarkStart w:id="57" w:name="_Toc4704"/>
      <w:bookmarkStart w:id="58" w:name="_Toc28939"/>
      <w:bookmarkStart w:id="59" w:name="_Toc13585"/>
      <w:bookmarkStart w:id="60" w:name="_Toc5421"/>
      <w:bookmarkStart w:id="61" w:name="_Toc749"/>
      <w:bookmarkStart w:id="62" w:name="_Toc80"/>
      <w:bookmarkStart w:id="63" w:name="_Toc10134"/>
      <w:r>
        <w:rPr>
          <w:rFonts w:hint="eastAsia" w:cs="仿宋"/>
          <w:b/>
          <w:bCs/>
          <w:color w:val="333333"/>
          <w:kern w:val="0"/>
          <w:sz w:val="24"/>
          <w:szCs w:val="24"/>
          <w:shd w:val="clear" w:color="auto" w:fill="FFFFFF"/>
          <w:lang w:val="en-US" w:eastAsia="zh-CN"/>
        </w:rPr>
        <w:t>2、</w:t>
      </w:r>
      <w:r>
        <w:rPr>
          <w:rFonts w:hint="eastAsia" w:ascii="仿宋" w:hAnsi="仿宋" w:eastAsia="仿宋" w:cs="仿宋"/>
          <w:b/>
          <w:bCs/>
          <w:color w:val="333333"/>
          <w:kern w:val="0"/>
          <w:sz w:val="24"/>
          <w:szCs w:val="24"/>
          <w:shd w:val="clear" w:color="auto" w:fill="FFFFFF"/>
          <w:lang w:val="en-US" w:eastAsia="zh-CN"/>
        </w:rPr>
        <w:t>控制屏</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控制屏由电源控制单元，电源输出单元、信号接口单元</w:t>
      </w:r>
      <w:r>
        <w:rPr>
          <w:rFonts w:hint="eastAsia" w:ascii="仿宋" w:hAnsi="仿宋" w:eastAsia="仿宋" w:cs="仿宋"/>
          <w:kern w:val="0"/>
          <w:sz w:val="24"/>
          <w:szCs w:val="24"/>
          <w:shd w:val="clear" w:color="auto" w:fill="FFFFFF"/>
          <w:lang w:val="en-US" w:eastAsia="zh-CN"/>
        </w:rPr>
        <w:t>三</w:t>
      </w:r>
      <w:r>
        <w:rPr>
          <w:rFonts w:hint="eastAsia" w:ascii="仿宋" w:hAnsi="仿宋" w:eastAsia="仿宋" w:cs="仿宋"/>
          <w:kern w:val="0"/>
          <w:sz w:val="24"/>
          <w:szCs w:val="24"/>
          <w:shd w:val="clear" w:color="auto" w:fill="FFFFFF"/>
          <w:lang w:val="de-DE" w:eastAsia="zh-CN"/>
        </w:rPr>
        <w:t>部分组成。面板采用铝板为材料，经过激光雕刻、喷塑等工艺制作，不变形、不褪色、字迹清晰、美观。</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en-US" w:eastAsia="zh-CN"/>
        </w:rPr>
      </w:pPr>
      <w:r>
        <w:rPr>
          <w:rFonts w:hint="eastAsia" w:ascii="宋体" w:hAnsi="宋体" w:eastAsia="宋体" w:cs="宋体"/>
          <w:b/>
          <w:bCs/>
          <w:color w:val="333333"/>
          <w:kern w:val="0"/>
          <w:sz w:val="24"/>
          <w:szCs w:val="24"/>
          <w:shd w:val="clear" w:color="auto" w:fill="FFFFFF"/>
          <w:lang w:val="en-US" w:eastAsia="zh-CN"/>
        </w:rPr>
        <w:t>①</w:t>
      </w:r>
      <w:r>
        <w:rPr>
          <w:rFonts w:hint="eastAsia" w:ascii="仿宋" w:hAnsi="仿宋" w:eastAsia="仿宋" w:cs="仿宋"/>
          <w:kern w:val="0"/>
          <w:sz w:val="24"/>
          <w:szCs w:val="24"/>
          <w:shd w:val="clear" w:color="auto" w:fill="FFFFFF"/>
          <w:lang w:val="en-US" w:eastAsia="zh-CN"/>
        </w:rPr>
        <w:t>电源控制</w:t>
      </w:r>
      <w:r>
        <w:rPr>
          <w:rFonts w:hint="eastAsia" w:ascii="仿宋" w:hAnsi="仿宋" w:eastAsia="仿宋" w:cs="仿宋"/>
          <w:kern w:val="0"/>
          <w:sz w:val="24"/>
          <w:szCs w:val="24"/>
          <w:shd w:val="clear" w:color="auto" w:fill="FFFFFF"/>
          <w:lang w:val="de-DE" w:eastAsia="zh-CN"/>
        </w:rPr>
        <w:t>单元</w:t>
      </w:r>
      <w:r>
        <w:rPr>
          <w:rFonts w:hint="eastAsia" w:ascii="仿宋" w:hAnsi="仿宋" w:eastAsia="仿宋" w:cs="仿宋"/>
          <w:kern w:val="0"/>
          <w:sz w:val="24"/>
          <w:szCs w:val="24"/>
          <w:shd w:val="clear" w:color="auto" w:fill="FFFFFF"/>
          <w:lang w:val="en-US" w:eastAsia="zh-CN"/>
        </w:rPr>
        <w:t>：由空气总开关、</w:t>
      </w:r>
      <w:r>
        <w:rPr>
          <w:rFonts w:hint="eastAsia" w:ascii="仿宋" w:hAnsi="仿宋" w:eastAsia="仿宋" w:cs="仿宋"/>
          <w:kern w:val="0"/>
          <w:sz w:val="24"/>
          <w:szCs w:val="24"/>
          <w:shd w:val="clear" w:color="auto" w:fill="FFFFFF"/>
          <w:lang w:val="de-DE" w:eastAsia="zh-CN"/>
        </w:rPr>
        <w:t>接通总开关、启动按钮、停止按钮、</w:t>
      </w:r>
      <w:r>
        <w:rPr>
          <w:rFonts w:hint="eastAsia" w:ascii="仿宋" w:hAnsi="仿宋" w:eastAsia="仿宋" w:cs="仿宋"/>
          <w:kern w:val="0"/>
          <w:sz w:val="24"/>
          <w:szCs w:val="24"/>
          <w:shd w:val="clear" w:color="auto" w:fill="FFFFFF"/>
          <w:lang w:val="en-US" w:eastAsia="zh-CN"/>
        </w:rPr>
        <w:t>急停按钮组成，</w:t>
      </w:r>
      <w:r>
        <w:rPr>
          <w:rFonts w:hint="eastAsia" w:ascii="仿宋" w:hAnsi="仿宋" w:eastAsia="仿宋" w:cs="仿宋"/>
          <w:kern w:val="0"/>
          <w:sz w:val="24"/>
          <w:szCs w:val="24"/>
          <w:shd w:val="clear" w:color="auto" w:fill="FFFFFF"/>
          <w:lang w:val="de-DE" w:eastAsia="zh-CN"/>
        </w:rPr>
        <w:t>配有供电指示灯和工作指示灯。</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de-DE" w:eastAsia="zh-CN"/>
        </w:rPr>
      </w:pPr>
      <w:r>
        <w:rPr>
          <w:rFonts w:hint="eastAsia" w:ascii="宋体" w:hAnsi="宋体" w:eastAsia="宋体" w:cs="宋体"/>
          <w:b/>
          <w:bCs/>
          <w:color w:val="333333"/>
          <w:kern w:val="0"/>
          <w:sz w:val="24"/>
          <w:szCs w:val="24"/>
          <w:shd w:val="clear" w:color="auto" w:fill="FFFFFF"/>
          <w:lang w:val="en-US" w:eastAsia="zh-CN"/>
        </w:rPr>
        <w:t>②</w:t>
      </w:r>
      <w:r>
        <w:rPr>
          <w:rFonts w:hint="eastAsia" w:ascii="仿宋" w:hAnsi="仿宋" w:eastAsia="仿宋" w:cs="仿宋"/>
          <w:kern w:val="0"/>
          <w:sz w:val="24"/>
          <w:szCs w:val="24"/>
          <w:shd w:val="clear" w:color="auto" w:fill="FFFFFF"/>
          <w:lang w:val="de-DE" w:eastAsia="zh-CN"/>
        </w:rPr>
        <w:t>电源输出单元:包含DC5V、DC24V</w:t>
      </w:r>
      <w:r>
        <w:rPr>
          <w:rFonts w:hint="eastAsia" w:ascii="仿宋" w:hAnsi="仿宋" w:eastAsia="仿宋" w:cs="仿宋"/>
          <w:kern w:val="0"/>
          <w:sz w:val="24"/>
          <w:szCs w:val="24"/>
          <w:shd w:val="clear" w:color="auto" w:fill="FFFFFF"/>
          <w:lang w:val="en-US" w:eastAsia="zh-CN"/>
        </w:rPr>
        <w:t>直流输出</w:t>
      </w:r>
      <w:r>
        <w:rPr>
          <w:rFonts w:hint="eastAsia" w:ascii="仿宋" w:hAnsi="仿宋" w:eastAsia="仿宋" w:cs="仿宋"/>
          <w:kern w:val="0"/>
          <w:sz w:val="24"/>
          <w:szCs w:val="24"/>
          <w:shd w:val="clear" w:color="auto" w:fill="FFFFFF"/>
          <w:lang w:val="de-DE" w:eastAsia="zh-CN"/>
        </w:rPr>
        <w:t>。</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de-DE" w:eastAsia="zh-CN"/>
        </w:rPr>
      </w:pPr>
      <w:r>
        <w:rPr>
          <w:rFonts w:hint="eastAsia" w:ascii="宋体" w:hAnsi="宋体" w:eastAsia="宋体" w:cs="宋体"/>
          <w:b/>
          <w:bCs/>
          <w:color w:val="333333"/>
          <w:kern w:val="0"/>
          <w:sz w:val="24"/>
          <w:szCs w:val="24"/>
          <w:shd w:val="clear" w:color="auto" w:fill="FFFFFF"/>
          <w:lang w:val="en-US" w:eastAsia="zh-CN"/>
        </w:rPr>
        <w:t>③</w:t>
      </w:r>
      <w:r>
        <w:rPr>
          <w:rFonts w:hint="eastAsia" w:ascii="仿宋" w:hAnsi="仿宋" w:eastAsia="仿宋" w:cs="仿宋"/>
          <w:kern w:val="0"/>
          <w:sz w:val="24"/>
          <w:szCs w:val="24"/>
          <w:shd w:val="clear" w:color="auto" w:fill="FFFFFF"/>
          <w:lang w:val="de-DE" w:eastAsia="zh-CN"/>
        </w:rPr>
        <w:t>信号接口单元包含：</w:t>
      </w:r>
    </w:p>
    <w:p>
      <w:pPr>
        <w:pStyle w:val="2"/>
        <w:numPr>
          <w:ilvl w:val="0"/>
          <w:numId w:val="2"/>
        </w:numPr>
        <w:spacing w:line="360" w:lineRule="auto"/>
        <w:ind w:left="0" w:leftChars="0" w:firstLine="420" w:firstLineChars="175"/>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步进电机控制单元：步进电机的转速和驱动控制，旋钮调节，数字显示，配备专用接口。</w:t>
      </w:r>
    </w:p>
    <w:p>
      <w:pPr>
        <w:pStyle w:val="2"/>
        <w:numPr>
          <w:ilvl w:val="0"/>
          <w:numId w:val="2"/>
        </w:numPr>
        <w:spacing w:line="360" w:lineRule="auto"/>
        <w:ind w:left="0" w:leftChars="0" w:firstLine="420" w:firstLineChars="175"/>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直流电机控制单元：2路PWM脉宽调制直流电源输出，旋钮调节，配备专用接口。</w:t>
      </w:r>
    </w:p>
    <w:p>
      <w:pPr>
        <w:pStyle w:val="2"/>
        <w:numPr>
          <w:ilvl w:val="0"/>
          <w:numId w:val="2"/>
        </w:numPr>
        <w:spacing w:line="360" w:lineRule="auto"/>
        <w:ind w:left="0" w:leftChars="0" w:firstLine="420" w:firstLineChars="175"/>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温度控制单元：数显智能温控，具备PID算式与温度对象配套使用，配备专用接口。</w:t>
      </w:r>
    </w:p>
    <w:p>
      <w:pPr>
        <w:pStyle w:val="2"/>
        <w:numPr>
          <w:ilvl w:val="0"/>
          <w:numId w:val="2"/>
        </w:numPr>
        <w:spacing w:line="360" w:lineRule="auto"/>
        <w:ind w:left="0" w:leftChars="0" w:firstLine="420" w:firstLineChars="175"/>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转速显示单元：输入信号频率0Hz～20kHz，数字显示，具备电压变送输出，配备专用接口。</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482" w:firstLineChars="200"/>
        <w:jc w:val="left"/>
        <w:outlineLvl w:val="3"/>
        <w:rPr>
          <w:rFonts w:hint="eastAsia" w:ascii="仿宋" w:hAnsi="仿宋" w:eastAsia="仿宋" w:cs="仿宋"/>
          <w:b/>
          <w:bCs/>
          <w:color w:val="333333"/>
          <w:kern w:val="0"/>
          <w:sz w:val="24"/>
          <w:szCs w:val="24"/>
          <w:shd w:val="clear" w:color="auto" w:fill="FFFFFF"/>
          <w:lang w:val="en-US" w:eastAsia="zh-CN"/>
        </w:rPr>
      </w:pPr>
      <w:bookmarkStart w:id="64" w:name="_Toc6181"/>
      <w:bookmarkStart w:id="65" w:name="_Toc1988"/>
      <w:bookmarkStart w:id="66" w:name="_Toc5052"/>
      <w:bookmarkStart w:id="67" w:name="_Toc28818"/>
      <w:bookmarkStart w:id="68" w:name="_Toc6501"/>
      <w:bookmarkStart w:id="69" w:name="_Toc24521"/>
      <w:bookmarkStart w:id="70" w:name="_Toc32471"/>
      <w:bookmarkStart w:id="71" w:name="_Toc27272"/>
      <w:bookmarkStart w:id="72" w:name="_Toc18051"/>
      <w:bookmarkStart w:id="73" w:name="_Toc2507"/>
      <w:bookmarkStart w:id="74" w:name="_Toc14277"/>
      <w:bookmarkStart w:id="75" w:name="_Toc14287"/>
      <w:bookmarkStart w:id="76" w:name="_Toc26143"/>
      <w:bookmarkStart w:id="77" w:name="_Toc7504"/>
      <w:bookmarkStart w:id="78" w:name="_Toc1696"/>
      <w:bookmarkStart w:id="79" w:name="_Toc31868"/>
      <w:bookmarkStart w:id="80" w:name="_Toc23661"/>
      <w:bookmarkStart w:id="81" w:name="_Toc32569"/>
      <w:bookmarkStart w:id="82" w:name="_Toc21008"/>
      <w:bookmarkStart w:id="83" w:name="_Toc29400"/>
      <w:bookmarkStart w:id="84" w:name="_Toc31413"/>
      <w:bookmarkStart w:id="85" w:name="_Toc27469"/>
      <w:r>
        <w:rPr>
          <w:rFonts w:hint="eastAsia" w:cs="仿宋"/>
          <w:b/>
          <w:bCs/>
          <w:color w:val="333333"/>
          <w:kern w:val="0"/>
          <w:sz w:val="24"/>
          <w:szCs w:val="24"/>
          <w:shd w:val="clear" w:color="auto" w:fill="FFFFFF"/>
          <w:lang w:val="en-US" w:eastAsia="zh-CN"/>
        </w:rPr>
        <w:t>3、</w:t>
      </w:r>
      <w:r>
        <w:rPr>
          <w:rFonts w:hint="eastAsia" w:ascii="仿宋" w:hAnsi="仿宋" w:eastAsia="仿宋" w:cs="仿宋"/>
          <w:b/>
          <w:bCs/>
          <w:color w:val="333333"/>
          <w:kern w:val="0"/>
          <w:sz w:val="24"/>
          <w:szCs w:val="24"/>
          <w:shd w:val="clear" w:color="auto" w:fill="FFFFFF"/>
          <w:lang w:val="en-US" w:eastAsia="zh-CN"/>
        </w:rPr>
        <w:t>磁性</w:t>
      </w:r>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ascii="仿宋" w:hAnsi="仿宋" w:eastAsia="仿宋" w:cs="仿宋"/>
          <w:b/>
          <w:bCs/>
          <w:color w:val="333333"/>
          <w:kern w:val="0"/>
          <w:sz w:val="24"/>
          <w:szCs w:val="24"/>
          <w:shd w:val="clear" w:color="auto" w:fill="FFFFFF"/>
          <w:lang w:val="en-US" w:eastAsia="zh-CN"/>
        </w:rPr>
        <w:t>实训区</w:t>
      </w:r>
      <w:bookmarkEnd w:id="78"/>
      <w:bookmarkEnd w:id="79"/>
      <w:bookmarkEnd w:id="80"/>
      <w:bookmarkEnd w:id="81"/>
      <w:bookmarkEnd w:id="82"/>
      <w:bookmarkEnd w:id="83"/>
      <w:bookmarkEnd w:id="84"/>
      <w:bookmarkEnd w:id="85"/>
    </w:p>
    <w:p>
      <w:pPr>
        <w:pStyle w:val="2"/>
        <w:spacing w:line="360" w:lineRule="auto"/>
        <w:ind w:left="0" w:leftChars="0" w:firstLine="480" w:firstLineChars="200"/>
        <w:rPr>
          <w:rFonts w:hint="eastAsia"/>
          <w:lang w:val="de-DE"/>
        </w:rPr>
      </w:pPr>
      <w:r>
        <w:rPr>
          <w:rFonts w:hint="eastAsia" w:ascii="仿宋" w:hAnsi="仿宋" w:eastAsia="仿宋" w:cs="仿宋"/>
          <w:kern w:val="0"/>
          <w:sz w:val="24"/>
          <w:szCs w:val="24"/>
          <w:shd w:val="clear" w:color="auto" w:fill="FFFFFF"/>
          <w:lang w:val="de-DE" w:eastAsia="zh-CN"/>
        </w:rPr>
        <w:t>为实训实操区域，带有磁性，能使模块方便的拿取和放置，节约模块的安装时间，以便更好的进行实训操作。模块为正六边形结构，能实现相互限制和独立放置功能，实训区设置由</w:t>
      </w:r>
      <w:r>
        <w:rPr>
          <w:rFonts w:hint="eastAsia" w:ascii="仿宋" w:hAnsi="仿宋" w:eastAsia="仿宋" w:cs="仿宋"/>
          <w:kern w:val="0"/>
          <w:sz w:val="24"/>
          <w:szCs w:val="24"/>
          <w:shd w:val="clear" w:color="auto" w:fill="FFFFFF"/>
          <w:lang w:val="en-US" w:eastAsia="zh-CN"/>
        </w:rPr>
        <w:t>11个</w:t>
      </w:r>
      <w:r>
        <w:rPr>
          <w:rFonts w:hint="eastAsia" w:ascii="仿宋" w:hAnsi="仿宋" w:eastAsia="仿宋" w:cs="仿宋"/>
          <w:kern w:val="0"/>
          <w:sz w:val="24"/>
          <w:szCs w:val="24"/>
          <w:shd w:val="clear" w:color="auto" w:fill="FFFFFF"/>
          <w:lang w:val="de-DE" w:eastAsia="zh-CN"/>
        </w:rPr>
        <w:t>正六边形凹槽构成的传感器放置区。</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482" w:firstLineChars="200"/>
        <w:jc w:val="left"/>
        <w:outlineLvl w:val="3"/>
        <w:rPr>
          <w:rFonts w:hint="eastAsia" w:ascii="仿宋" w:hAnsi="仿宋" w:eastAsia="仿宋" w:cs="仿宋"/>
          <w:b/>
          <w:bCs/>
          <w:color w:val="333333"/>
          <w:kern w:val="0"/>
          <w:sz w:val="24"/>
          <w:szCs w:val="24"/>
          <w:shd w:val="clear" w:color="auto" w:fill="FFFFFF"/>
          <w:lang w:val="en-US" w:eastAsia="zh-CN"/>
        </w:rPr>
      </w:pPr>
      <w:bookmarkStart w:id="86" w:name="_Toc32688"/>
      <w:bookmarkStart w:id="87" w:name="_Toc7440"/>
      <w:bookmarkStart w:id="88" w:name="_Toc16719"/>
      <w:bookmarkStart w:id="89" w:name="_Toc21972"/>
      <w:bookmarkStart w:id="90" w:name="_Toc10857"/>
      <w:bookmarkStart w:id="91" w:name="_Toc22249"/>
      <w:bookmarkStart w:id="92" w:name="_Toc26044"/>
      <w:bookmarkStart w:id="93" w:name="_Toc20131"/>
      <w:bookmarkStart w:id="94" w:name="_Toc11350"/>
      <w:bookmarkStart w:id="95" w:name="_Toc26133"/>
      <w:r>
        <w:rPr>
          <w:rFonts w:hint="eastAsia" w:cs="仿宋"/>
          <w:b/>
          <w:bCs/>
          <w:color w:val="333333"/>
          <w:kern w:val="0"/>
          <w:sz w:val="24"/>
          <w:szCs w:val="24"/>
          <w:shd w:val="clear" w:color="auto" w:fill="FFFFFF"/>
          <w:lang w:val="en-US" w:eastAsia="zh-CN"/>
        </w:rPr>
        <w:t>4、</w:t>
      </w:r>
      <w:r>
        <w:rPr>
          <w:rFonts w:hint="eastAsia" w:ascii="仿宋" w:hAnsi="仿宋" w:eastAsia="仿宋" w:cs="仿宋"/>
          <w:b/>
          <w:bCs/>
          <w:color w:val="333333"/>
          <w:kern w:val="0"/>
          <w:sz w:val="24"/>
          <w:szCs w:val="24"/>
          <w:shd w:val="clear" w:color="auto" w:fill="FFFFFF"/>
          <w:lang w:val="de-DE" w:eastAsia="zh-CN"/>
        </w:rPr>
        <w:t>工业互联网云数据显示器</w:t>
      </w:r>
      <w:bookmarkEnd w:id="86"/>
      <w:bookmarkEnd w:id="87"/>
      <w:bookmarkEnd w:id="88"/>
      <w:bookmarkEnd w:id="89"/>
      <w:bookmarkEnd w:id="90"/>
      <w:bookmarkEnd w:id="91"/>
      <w:bookmarkEnd w:id="92"/>
      <w:bookmarkEnd w:id="93"/>
      <w:bookmarkEnd w:id="94"/>
      <w:bookmarkEnd w:id="95"/>
    </w:p>
    <w:p>
      <w:pPr>
        <w:pStyle w:val="3"/>
        <w:spacing w:after="0" w:line="360" w:lineRule="auto"/>
        <w:ind w:left="0" w:leftChars="0" w:firstLine="480" w:firstLineChars="200"/>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en-US" w:eastAsia="zh-CN"/>
        </w:rPr>
        <w:t>40英寸4K防爆光学防蓝光护眼显示屏。采用HDR高动态显示技术，从亮度、色度、色饱和度三个维度对颜色进行处理，还原丰富的色彩表现。</w:t>
      </w:r>
      <w:r>
        <w:rPr>
          <w:rFonts w:hint="eastAsia" w:ascii="仿宋" w:hAnsi="仿宋" w:eastAsia="仿宋" w:cs="仿宋"/>
          <w:kern w:val="0"/>
          <w:sz w:val="24"/>
          <w:szCs w:val="24"/>
          <w:shd w:val="clear" w:color="auto" w:fill="FFFFFF"/>
          <w:lang w:val="de-DE" w:eastAsia="zh-CN"/>
        </w:rPr>
        <w:t>显示整个设备的实时采集、运行、预警等可视化状态数据。</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3"/>
        <w:rPr>
          <w:rFonts w:hint="eastAsia" w:ascii="仿宋" w:hAnsi="仿宋" w:eastAsia="仿宋" w:cs="仿宋"/>
          <w:b/>
          <w:bCs/>
          <w:color w:val="333333"/>
          <w:kern w:val="0"/>
          <w:sz w:val="24"/>
          <w:szCs w:val="24"/>
          <w:shd w:val="clear" w:color="auto" w:fill="FFFFFF"/>
          <w:lang w:val="de-DE" w:eastAsia="zh-CN"/>
        </w:rPr>
      </w:pPr>
      <w:bookmarkStart w:id="96" w:name="_Toc29667"/>
      <w:bookmarkStart w:id="97" w:name="_Toc30876"/>
      <w:bookmarkStart w:id="98" w:name="_Toc2178"/>
      <w:bookmarkStart w:id="99" w:name="_Toc16216"/>
      <w:bookmarkStart w:id="100" w:name="_Toc18517"/>
      <w:bookmarkStart w:id="101" w:name="_Toc1892"/>
      <w:bookmarkStart w:id="102" w:name="_Toc31843"/>
      <w:bookmarkStart w:id="103" w:name="_Toc16121"/>
      <w:bookmarkStart w:id="104" w:name="_Toc3235"/>
      <w:bookmarkStart w:id="105" w:name="_Toc24000"/>
      <w:bookmarkStart w:id="106" w:name="_Toc28598"/>
      <w:bookmarkStart w:id="107" w:name="_Toc10505"/>
      <w:bookmarkStart w:id="108" w:name="_Toc27933"/>
      <w:bookmarkStart w:id="109" w:name="_Toc5819"/>
      <w:bookmarkStart w:id="110" w:name="_Toc905"/>
      <w:bookmarkStart w:id="111" w:name="_Toc21526"/>
      <w:bookmarkStart w:id="112" w:name="_Toc15667"/>
      <w:bookmarkStart w:id="113" w:name="_Toc10610"/>
      <w:bookmarkStart w:id="114" w:name="_Toc10835"/>
      <w:bookmarkStart w:id="115" w:name="_Toc6538"/>
      <w:bookmarkStart w:id="116" w:name="_Toc7479"/>
      <w:bookmarkStart w:id="117" w:name="_Toc4988"/>
      <w:r>
        <w:rPr>
          <w:rFonts w:hint="eastAsia" w:cs="仿宋"/>
          <w:b/>
          <w:bCs/>
          <w:color w:val="333333"/>
          <w:kern w:val="0"/>
          <w:sz w:val="24"/>
          <w:szCs w:val="24"/>
          <w:shd w:val="clear" w:color="auto" w:fill="FFFFFF"/>
          <w:lang w:val="en-US" w:eastAsia="zh-CN"/>
        </w:rPr>
        <w:t>5、</w:t>
      </w:r>
      <w:r>
        <w:rPr>
          <w:rFonts w:hint="eastAsia" w:ascii="仿宋" w:hAnsi="仿宋" w:eastAsia="仿宋" w:cs="仿宋"/>
          <w:b/>
          <w:bCs/>
          <w:color w:val="333333"/>
          <w:kern w:val="0"/>
          <w:sz w:val="24"/>
          <w:szCs w:val="24"/>
          <w:shd w:val="clear" w:color="auto" w:fill="FFFFFF"/>
          <w:lang w:val="de-DE" w:eastAsia="zh-CN"/>
        </w:rPr>
        <w:t>传感器对象模块</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包含转速对象、光电对象、振动对象、湿度对象、温度对象等。各对象底部采用正六边结构且带有磁性，内嵌以下工业传感器和电机等，方便吸附在实验区。</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de-DE" w:eastAsia="zh-CN"/>
        </w:rPr>
      </w:pPr>
      <w:bookmarkStart w:id="118" w:name="_Toc27396"/>
      <w:bookmarkStart w:id="119" w:name="_Toc16664"/>
      <w:bookmarkStart w:id="120" w:name="_Toc7630"/>
      <w:bookmarkStart w:id="121" w:name="_Toc16018"/>
      <w:bookmarkStart w:id="122" w:name="_Toc14748"/>
      <w:bookmarkStart w:id="123" w:name="_Toc29492"/>
      <w:bookmarkStart w:id="124" w:name="_Toc22425"/>
      <w:bookmarkStart w:id="125" w:name="_Toc2206"/>
      <w:bookmarkStart w:id="126" w:name="_Toc2168"/>
      <w:r>
        <w:rPr>
          <w:rFonts w:hint="eastAsia" w:ascii="宋体" w:hAnsi="宋体" w:eastAsia="宋体" w:cs="宋体"/>
          <w:b/>
          <w:bCs/>
          <w:color w:val="333333"/>
          <w:kern w:val="0"/>
          <w:sz w:val="24"/>
          <w:szCs w:val="24"/>
          <w:shd w:val="clear" w:color="auto" w:fill="FFFFFF"/>
          <w:lang w:val="en-US" w:eastAsia="zh-CN"/>
        </w:rPr>
        <w:t>①</w:t>
      </w:r>
      <w:r>
        <w:rPr>
          <w:rFonts w:hint="eastAsia" w:ascii="仿宋" w:hAnsi="仿宋" w:eastAsia="仿宋" w:cs="仿宋"/>
          <w:b/>
          <w:bCs/>
          <w:color w:val="333333"/>
          <w:kern w:val="0"/>
          <w:sz w:val="24"/>
          <w:szCs w:val="24"/>
          <w:shd w:val="clear" w:color="auto" w:fill="FFFFFF"/>
          <w:lang w:val="en-US" w:eastAsia="zh-CN"/>
        </w:rPr>
        <w:t>转</w:t>
      </w:r>
      <w:r>
        <w:rPr>
          <w:rFonts w:hint="eastAsia" w:ascii="仿宋" w:hAnsi="仿宋" w:eastAsia="仿宋" w:cs="仿宋"/>
          <w:b/>
          <w:bCs/>
          <w:color w:val="333333"/>
          <w:kern w:val="0"/>
          <w:sz w:val="24"/>
          <w:szCs w:val="24"/>
          <w:shd w:val="clear" w:color="auto" w:fill="FFFFFF"/>
          <w:lang w:val="de-DE" w:eastAsia="zh-CN"/>
        </w:rPr>
        <w:t>速对象</w:t>
      </w:r>
      <w:bookmarkEnd w:id="118"/>
      <w:bookmarkEnd w:id="119"/>
      <w:bookmarkEnd w:id="120"/>
      <w:bookmarkEnd w:id="121"/>
      <w:bookmarkEnd w:id="122"/>
      <w:bookmarkEnd w:id="123"/>
      <w:bookmarkEnd w:id="124"/>
      <w:bookmarkEnd w:id="125"/>
      <w:bookmarkEnd w:id="126"/>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转速对象由转速传感器和执行机构组成：转速传感器供电电源：12～30V DC；电气设计：PNP 常开；感应距离：1.7mm±10%；开关频率：1～15000HZ；执行机构包含电机1个（额定电压24V，转速&gt;1500r/min），配有被检测点，配备防护罩，配备专用底座、氛围灯光、传感器专用支架和网关专用通信线缆。</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de-DE" w:eastAsia="zh-CN"/>
        </w:rPr>
      </w:pPr>
      <w:bookmarkStart w:id="127" w:name="_Toc2798"/>
      <w:bookmarkStart w:id="128" w:name="_Toc13531"/>
      <w:bookmarkStart w:id="129" w:name="_Toc11441"/>
      <w:bookmarkStart w:id="130" w:name="_Toc28537"/>
      <w:bookmarkStart w:id="131" w:name="_Toc23107"/>
      <w:bookmarkStart w:id="132" w:name="_Toc19766"/>
      <w:bookmarkStart w:id="133" w:name="_Toc16181"/>
      <w:bookmarkStart w:id="134" w:name="_Toc18539"/>
      <w:r>
        <w:rPr>
          <w:rFonts w:hint="eastAsia" w:ascii="宋体" w:hAnsi="宋体" w:eastAsia="宋体" w:cs="宋体"/>
          <w:b/>
          <w:bCs/>
          <w:color w:val="333333"/>
          <w:kern w:val="0"/>
          <w:sz w:val="24"/>
          <w:szCs w:val="24"/>
          <w:shd w:val="clear" w:color="auto" w:fill="FFFFFF"/>
          <w:lang w:val="en-US" w:eastAsia="zh-CN"/>
        </w:rPr>
        <w:t>②</w:t>
      </w:r>
      <w:r>
        <w:rPr>
          <w:rFonts w:hint="eastAsia" w:ascii="仿宋" w:hAnsi="仿宋" w:eastAsia="仿宋" w:cs="仿宋"/>
          <w:b/>
          <w:bCs/>
          <w:color w:val="333333"/>
          <w:kern w:val="0"/>
          <w:sz w:val="24"/>
          <w:szCs w:val="24"/>
          <w:shd w:val="clear" w:color="auto" w:fill="FFFFFF"/>
          <w:lang w:val="de-DE" w:eastAsia="zh-CN"/>
        </w:rPr>
        <w:t>光电对象</w:t>
      </w:r>
      <w:bookmarkEnd w:id="127"/>
      <w:bookmarkEnd w:id="128"/>
      <w:bookmarkEnd w:id="129"/>
      <w:bookmarkEnd w:id="130"/>
      <w:bookmarkEnd w:id="131"/>
      <w:bookmarkEnd w:id="132"/>
      <w:bookmarkEnd w:id="133"/>
      <w:bookmarkEnd w:id="13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光电对象由光电传感器、磁性传感器和执行机构组成：光电传感器工作电压：10～30DC；电气设计：DC PNP；电流损耗 &lt;20ma；输出功能：亮通模式；检测距离：10～400mm；磁性传感器工作电压：10～30DC；电气设计：PNP/NPN；电流损耗 &lt;30ma；输出功能：常开/常闭；开关频率：DC300HZ；感应距离：5mm； 执行机构包含电机1个（额定电压24V），驱动凸轮往复机构，实现往复检测，配备专用底座、氛围灯光、传感器专用支架和网关专用通信线缆。</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de-DE" w:eastAsia="zh-CN"/>
        </w:rPr>
      </w:pPr>
      <w:bookmarkStart w:id="135" w:name="_Toc10805"/>
      <w:bookmarkStart w:id="136" w:name="_Toc4379"/>
      <w:bookmarkStart w:id="137" w:name="_Toc7462"/>
      <w:bookmarkStart w:id="138" w:name="_Toc8816"/>
      <w:bookmarkStart w:id="139" w:name="_Toc18309"/>
      <w:bookmarkStart w:id="140" w:name="_Toc30192"/>
      <w:bookmarkStart w:id="141" w:name="_Toc4126"/>
      <w:bookmarkStart w:id="142" w:name="_Toc18913"/>
      <w:bookmarkStart w:id="143" w:name="_Toc26874"/>
      <w:r>
        <w:rPr>
          <w:rFonts w:hint="eastAsia" w:ascii="宋体" w:hAnsi="宋体" w:eastAsia="宋体" w:cs="宋体"/>
          <w:b/>
          <w:bCs/>
          <w:color w:val="333333"/>
          <w:kern w:val="0"/>
          <w:sz w:val="24"/>
          <w:szCs w:val="24"/>
          <w:shd w:val="clear" w:color="auto" w:fill="FFFFFF"/>
          <w:lang w:val="en-US" w:eastAsia="zh-CN"/>
        </w:rPr>
        <w:t>③</w:t>
      </w:r>
      <w:r>
        <w:rPr>
          <w:rFonts w:hint="eastAsia" w:ascii="仿宋" w:hAnsi="仿宋" w:eastAsia="仿宋" w:cs="仿宋"/>
          <w:b/>
          <w:bCs/>
          <w:color w:val="333333"/>
          <w:kern w:val="0"/>
          <w:sz w:val="24"/>
          <w:szCs w:val="24"/>
          <w:shd w:val="clear" w:color="auto" w:fill="FFFFFF"/>
          <w:lang w:val="de-DE" w:eastAsia="zh-CN"/>
        </w:rPr>
        <w:t>湿度对象</w:t>
      </w:r>
      <w:bookmarkEnd w:id="135"/>
      <w:bookmarkEnd w:id="136"/>
      <w:bookmarkEnd w:id="137"/>
      <w:bookmarkEnd w:id="138"/>
      <w:bookmarkEnd w:id="139"/>
      <w:bookmarkEnd w:id="140"/>
      <w:bookmarkEnd w:id="141"/>
      <w:bookmarkEnd w:id="142"/>
      <w:bookmarkEnd w:id="143"/>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湿度对象由湿度传感器和执行机构组成：湿度传感器工作电压：9.6～33V DC；输出信号：模拟 ；模拟电流输出：4-20mA；温度范围：-40～60℃；执行机构包含1个湿度源，封闭式接触罩，配备干燥风吹装置，配备专用底座、氛围灯光、传感器专用支架和网关专用通信线缆。</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bookmarkStart w:id="144" w:name="_Toc6802"/>
      <w:bookmarkStart w:id="145" w:name="_Toc25049"/>
      <w:bookmarkStart w:id="146" w:name="_Toc8687"/>
      <w:bookmarkStart w:id="147" w:name="_Toc23458"/>
      <w:bookmarkStart w:id="148" w:name="_Toc118"/>
      <w:bookmarkStart w:id="149" w:name="_Toc3338"/>
      <w:bookmarkStart w:id="150" w:name="_Toc31485"/>
      <w:bookmarkStart w:id="151" w:name="_Toc15931"/>
      <w:bookmarkStart w:id="152" w:name="_Toc25179"/>
      <w:r>
        <w:rPr>
          <w:rFonts w:hint="eastAsia" w:ascii="宋体" w:hAnsi="宋体" w:eastAsia="宋体" w:cs="宋体"/>
          <w:b/>
          <w:bCs/>
          <w:color w:val="333333"/>
          <w:kern w:val="0"/>
          <w:sz w:val="24"/>
          <w:szCs w:val="24"/>
          <w:shd w:val="clear" w:color="auto" w:fill="FFFFFF"/>
          <w:lang w:val="en-US" w:eastAsia="zh-CN"/>
        </w:rPr>
        <w:t>④</w:t>
      </w:r>
      <w:r>
        <w:rPr>
          <w:rFonts w:hint="eastAsia" w:ascii="仿宋" w:hAnsi="仿宋" w:eastAsia="仿宋" w:cs="仿宋"/>
          <w:b/>
          <w:bCs/>
          <w:color w:val="333333"/>
          <w:kern w:val="0"/>
          <w:sz w:val="24"/>
          <w:szCs w:val="24"/>
          <w:shd w:val="clear" w:color="auto" w:fill="FFFFFF"/>
          <w:lang w:val="en-US" w:eastAsia="zh-CN"/>
        </w:rPr>
        <w:t>振动对象</w:t>
      </w:r>
      <w:bookmarkEnd w:id="144"/>
      <w:bookmarkEnd w:id="145"/>
      <w:bookmarkEnd w:id="146"/>
      <w:bookmarkEnd w:id="147"/>
      <w:bookmarkEnd w:id="148"/>
      <w:bookmarkEnd w:id="149"/>
      <w:bookmarkEnd w:id="150"/>
      <w:bookmarkEnd w:id="151"/>
      <w:bookmarkEnd w:id="152"/>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en-US" w:eastAsia="zh-CN"/>
        </w:rPr>
        <w:t>振动</w:t>
      </w:r>
      <w:r>
        <w:rPr>
          <w:rFonts w:hint="eastAsia" w:ascii="仿宋" w:hAnsi="仿宋" w:eastAsia="仿宋" w:cs="仿宋"/>
          <w:kern w:val="0"/>
          <w:sz w:val="24"/>
          <w:szCs w:val="24"/>
          <w:shd w:val="clear" w:color="auto" w:fill="FFFFFF"/>
          <w:lang w:val="de-DE" w:eastAsia="zh-CN"/>
        </w:rPr>
        <w:t>对象由</w:t>
      </w:r>
      <w:r>
        <w:rPr>
          <w:rFonts w:hint="eastAsia" w:ascii="仿宋" w:hAnsi="仿宋" w:eastAsia="仿宋" w:cs="仿宋"/>
          <w:kern w:val="0"/>
          <w:sz w:val="24"/>
          <w:szCs w:val="24"/>
          <w:shd w:val="clear" w:color="auto" w:fill="FFFFFF"/>
          <w:lang w:val="en-US" w:eastAsia="zh-CN"/>
        </w:rPr>
        <w:t>振动</w:t>
      </w:r>
      <w:r>
        <w:rPr>
          <w:rFonts w:hint="eastAsia" w:ascii="仿宋" w:hAnsi="仿宋" w:eastAsia="仿宋" w:cs="仿宋"/>
          <w:kern w:val="0"/>
          <w:sz w:val="24"/>
          <w:szCs w:val="24"/>
          <w:shd w:val="clear" w:color="auto" w:fill="FFFFFF"/>
          <w:lang w:val="de-DE" w:eastAsia="zh-CN"/>
        </w:rPr>
        <w:t>传感器、电机温度传感器和执行机构组成：工作电压：18～32V DC；电流输出：4～20MA；振动测量范围[mm/s]：0-25(RMS)； 频率范围 [Hz]：10～1000；电机温度传感器测量范围：-40～90℃；输出信号：模拟信号；执行机构包含电机1个，配备防护罩，配备专用底座、氛围灯光、传感器专用支架和网关专用通信线缆。</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bookmarkStart w:id="153" w:name="_Toc3774"/>
      <w:bookmarkStart w:id="154" w:name="_Toc4837"/>
      <w:bookmarkStart w:id="155" w:name="_Toc11978"/>
      <w:bookmarkStart w:id="156" w:name="_Toc18920"/>
      <w:bookmarkStart w:id="157" w:name="_Toc6638"/>
      <w:bookmarkStart w:id="158" w:name="_Toc26465"/>
      <w:bookmarkStart w:id="159" w:name="_Toc15668"/>
      <w:bookmarkStart w:id="160" w:name="_Toc23557"/>
      <w:bookmarkStart w:id="161" w:name="_Toc2250"/>
      <w:r>
        <w:rPr>
          <w:rFonts w:hint="eastAsia" w:ascii="宋体" w:hAnsi="宋体" w:eastAsia="宋体" w:cs="宋体"/>
          <w:b/>
          <w:bCs/>
          <w:color w:val="333333"/>
          <w:kern w:val="0"/>
          <w:sz w:val="24"/>
          <w:szCs w:val="24"/>
          <w:shd w:val="clear" w:color="auto" w:fill="FFFFFF"/>
          <w:lang w:val="en-US" w:eastAsia="zh-CN"/>
        </w:rPr>
        <w:t>⑤</w:t>
      </w:r>
      <w:r>
        <w:rPr>
          <w:rFonts w:hint="eastAsia" w:ascii="仿宋" w:hAnsi="仿宋" w:eastAsia="仿宋" w:cs="仿宋"/>
          <w:b/>
          <w:bCs/>
          <w:color w:val="333333"/>
          <w:kern w:val="0"/>
          <w:sz w:val="24"/>
          <w:szCs w:val="24"/>
          <w:shd w:val="clear" w:color="auto" w:fill="FFFFFF"/>
          <w:lang w:val="en-US" w:eastAsia="zh-CN"/>
        </w:rPr>
        <w:t>温度对象</w:t>
      </w:r>
      <w:bookmarkEnd w:id="153"/>
      <w:bookmarkEnd w:id="154"/>
      <w:bookmarkEnd w:id="155"/>
      <w:bookmarkEnd w:id="156"/>
      <w:bookmarkEnd w:id="157"/>
      <w:bookmarkEnd w:id="158"/>
      <w:bookmarkEnd w:id="159"/>
      <w:bookmarkEnd w:id="160"/>
      <w:bookmarkEnd w:id="161"/>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shd w:val="clear" w:color="auto" w:fill="FFFFFF"/>
          <w:lang w:val="de-DE" w:eastAsia="zh-CN"/>
        </w:rPr>
      </w:pPr>
      <w:bookmarkStart w:id="162" w:name="_Toc28637"/>
      <w:bookmarkStart w:id="163" w:name="_Toc10753"/>
      <w:bookmarkStart w:id="164" w:name="_Toc6201"/>
      <w:bookmarkStart w:id="165" w:name="_Toc15548"/>
      <w:bookmarkStart w:id="166" w:name="_Toc26881"/>
      <w:r>
        <w:rPr>
          <w:rFonts w:hint="eastAsia" w:ascii="仿宋" w:hAnsi="仿宋" w:eastAsia="仿宋" w:cs="仿宋"/>
          <w:kern w:val="0"/>
          <w:sz w:val="24"/>
          <w:szCs w:val="24"/>
          <w:shd w:val="clear" w:color="auto" w:fill="FFFFFF"/>
          <w:lang w:val="de-DE" w:eastAsia="zh-CN"/>
        </w:rPr>
        <w:t>温度对象由温度传感器和执行机构组成：温度传感器工作电压：18～32DC；电流损耗 &lt;50MA；输出信号：模拟信号；测量范围：-40-90℃；模拟量输出分辨率：0.04k；温度系数：0.1；</w:t>
      </w:r>
      <w:bookmarkEnd w:id="162"/>
      <w:bookmarkEnd w:id="163"/>
      <w:bookmarkEnd w:id="164"/>
      <w:bookmarkEnd w:id="165"/>
      <w:bookmarkEnd w:id="166"/>
      <w:r>
        <w:rPr>
          <w:rFonts w:hint="eastAsia" w:ascii="仿宋" w:hAnsi="仿宋" w:eastAsia="仿宋" w:cs="仿宋"/>
          <w:kern w:val="0"/>
          <w:sz w:val="24"/>
          <w:szCs w:val="24"/>
          <w:shd w:val="clear" w:color="auto" w:fill="FFFFFF"/>
          <w:lang w:val="de-DE"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执行机构包含1个温度源，封闭式接触罩，配备专用底座、氛围灯光、传感器专用支架和网关专用通信线缆。</w:t>
      </w:r>
      <w:r>
        <w:rPr>
          <w:rFonts w:hint="eastAsia" w:ascii="仿宋" w:hAnsi="仿宋" w:eastAsia="仿宋" w:cs="仿宋"/>
          <w:kern w:val="0"/>
          <w:sz w:val="24"/>
          <w:szCs w:val="24"/>
          <w:shd w:val="clear" w:color="auto" w:fill="FFFFFF"/>
          <w:lang w:val="en-US" w:eastAsia="zh-CN"/>
        </w:rPr>
        <w:t xml:space="preserve">    </w:t>
      </w:r>
      <w:r>
        <w:rPr>
          <w:rFonts w:hint="eastAsia" w:ascii="仿宋" w:hAnsi="仿宋" w:eastAsia="仿宋" w:cs="仿宋"/>
          <w:kern w:val="0"/>
          <w:szCs w:val="24"/>
          <w:shd w:val="clear" w:color="auto" w:fill="FFFFFF"/>
          <w:lang w:val="en-US" w:eastAsia="zh-CN"/>
        </w:rPr>
        <w:t xml:space="preserve">    </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100" w:after="100" w:line="360" w:lineRule="auto"/>
        <w:ind w:left="0" w:leftChars="0" w:firstLine="0" w:firstLineChars="0"/>
        <w:jc w:val="left"/>
        <w:textAlignment w:val="auto"/>
        <w:outlineLvl w:val="2"/>
        <w:rPr>
          <w:rFonts w:hint="eastAsia" w:ascii="仿宋" w:hAnsi="仿宋" w:eastAsia="仿宋" w:cs="仿宋"/>
          <w:b/>
          <w:bCs/>
          <w:color w:val="333333"/>
          <w:kern w:val="0"/>
          <w:sz w:val="24"/>
          <w:szCs w:val="24"/>
          <w:shd w:val="clear" w:color="auto" w:fill="FFFFFF"/>
          <w:lang w:val="en-US" w:eastAsia="zh-CN"/>
        </w:rPr>
      </w:pPr>
      <w:bookmarkStart w:id="167" w:name="_Toc6002"/>
      <w:bookmarkStart w:id="168" w:name="_Toc6571"/>
      <w:bookmarkStart w:id="169" w:name="_Toc9902"/>
      <w:bookmarkStart w:id="170" w:name="_Toc28789"/>
      <w:bookmarkStart w:id="171" w:name="_Toc24446"/>
      <w:bookmarkStart w:id="172" w:name="_Toc28129"/>
      <w:bookmarkStart w:id="173" w:name="_Toc4748"/>
      <w:bookmarkStart w:id="174" w:name="_Toc3099"/>
      <w:bookmarkStart w:id="175" w:name="_Toc16056"/>
      <w:bookmarkStart w:id="176" w:name="_Toc29151"/>
      <w:bookmarkStart w:id="177" w:name="_Toc17309"/>
      <w:bookmarkStart w:id="178" w:name="_Toc5014"/>
      <w:bookmarkStart w:id="179" w:name="_Toc12603"/>
      <w:bookmarkStart w:id="180" w:name="_Toc16191"/>
      <w:bookmarkStart w:id="181" w:name="_Toc13009"/>
      <w:bookmarkStart w:id="182" w:name="_Toc22300"/>
      <w:bookmarkStart w:id="183" w:name="_Toc21956"/>
      <w:bookmarkStart w:id="184" w:name="_Toc28585"/>
      <w:bookmarkStart w:id="185" w:name="_Toc7959"/>
      <w:bookmarkStart w:id="186" w:name="_Toc32476"/>
      <w:bookmarkStart w:id="187" w:name="_Toc17739"/>
      <w:bookmarkStart w:id="188" w:name="_Toc4995"/>
      <w:r>
        <w:rPr>
          <w:rFonts w:hint="eastAsia" w:cs="仿宋"/>
          <w:b/>
          <w:bCs/>
          <w:color w:val="333333"/>
          <w:kern w:val="0"/>
          <w:sz w:val="24"/>
          <w:szCs w:val="24"/>
          <w:shd w:val="clear" w:color="auto" w:fill="FFFFFF"/>
          <w:lang w:val="en-US" w:eastAsia="zh-CN"/>
        </w:rPr>
        <w:t>6、</w:t>
      </w:r>
      <w:r>
        <w:rPr>
          <w:rFonts w:hint="eastAsia" w:ascii="仿宋" w:hAnsi="仿宋" w:eastAsia="仿宋" w:cs="仿宋"/>
          <w:b/>
          <w:bCs/>
          <w:color w:val="333333"/>
          <w:kern w:val="0"/>
          <w:sz w:val="24"/>
          <w:szCs w:val="24"/>
          <w:shd w:val="clear" w:color="auto" w:fill="FFFFFF"/>
          <w:lang w:val="en-US" w:eastAsia="zh-CN"/>
        </w:rPr>
        <w:t>桌面级自动化产线</w:t>
      </w:r>
      <w:bookmarkEnd w:id="167"/>
      <w:bookmarkEnd w:id="168"/>
      <w:bookmarkEnd w:id="169"/>
      <w:bookmarkEnd w:id="170"/>
      <w:bookmarkEnd w:id="171"/>
      <w:bookmarkEnd w:id="172"/>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shd w:val="clear" w:color="auto" w:fill="FFFFFF"/>
          <w:lang w:val="de-DE" w:eastAsia="zh-CN"/>
        </w:rPr>
      </w:pPr>
      <w:r>
        <w:rPr>
          <w:rFonts w:hint="eastAsia" w:ascii="仿宋" w:hAnsi="仿宋" w:eastAsia="仿宋" w:cs="仿宋"/>
          <w:kern w:val="0"/>
          <w:sz w:val="24"/>
          <w:szCs w:val="24"/>
          <w:shd w:val="clear" w:color="auto" w:fill="FFFFFF"/>
          <w:lang w:val="de-DE" w:eastAsia="zh-CN"/>
        </w:rPr>
        <w:t>由S型产线装置单元、产线控制单元组成</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bookmarkStart w:id="189" w:name="_Toc14109"/>
      <w:bookmarkStart w:id="190" w:name="_Toc839"/>
      <w:bookmarkStart w:id="191" w:name="_Toc13486"/>
      <w:bookmarkStart w:id="192" w:name="_Toc28846"/>
      <w:bookmarkStart w:id="193" w:name="_Toc30935"/>
      <w:bookmarkStart w:id="194" w:name="_Toc26999"/>
      <w:r>
        <w:rPr>
          <w:rFonts w:hint="eastAsia" w:ascii="宋体" w:hAnsi="宋体" w:eastAsia="宋体" w:cs="宋体"/>
          <w:b/>
          <w:bCs/>
          <w:color w:val="333333"/>
          <w:kern w:val="0"/>
          <w:sz w:val="24"/>
          <w:szCs w:val="24"/>
          <w:shd w:val="clear" w:color="auto" w:fill="FFFFFF"/>
          <w:lang w:val="en-US" w:eastAsia="zh-CN"/>
        </w:rPr>
        <w:t>①</w:t>
      </w:r>
      <w:r>
        <w:rPr>
          <w:rFonts w:hint="eastAsia" w:ascii="仿宋" w:hAnsi="仿宋" w:eastAsia="仿宋" w:cs="仿宋"/>
          <w:b/>
          <w:bCs/>
          <w:color w:val="333333"/>
          <w:kern w:val="0"/>
          <w:sz w:val="24"/>
          <w:szCs w:val="24"/>
          <w:shd w:val="clear" w:color="auto" w:fill="FFFFFF"/>
          <w:lang w:val="en-US" w:eastAsia="zh-CN"/>
        </w:rPr>
        <w:t>S型产线装置单元</w:t>
      </w:r>
      <w:bookmarkEnd w:id="189"/>
      <w:bookmarkEnd w:id="190"/>
      <w:bookmarkEnd w:id="191"/>
      <w:bookmarkEnd w:id="192"/>
      <w:bookmarkEnd w:id="193"/>
      <w:bookmarkEnd w:id="19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de-DE"/>
        </w:rPr>
      </w:pPr>
      <w:r>
        <w:rPr>
          <w:rFonts w:hint="eastAsia" w:ascii="仿宋" w:hAnsi="仿宋" w:eastAsia="仿宋" w:cs="仿宋"/>
          <w:sz w:val="24"/>
          <w:szCs w:val="24"/>
          <w:lang w:val="de-DE"/>
        </w:rPr>
        <w:t>该装置符合自动化工业输送模式和产品加工制作及装备运转一体化产线，输送路线为复杂多变的</w:t>
      </w:r>
      <w:r>
        <w:rPr>
          <w:rFonts w:hint="eastAsia" w:ascii="仿宋" w:hAnsi="仿宋" w:eastAsia="仿宋" w:cs="仿宋"/>
          <w:sz w:val="24"/>
          <w:szCs w:val="24"/>
          <w:lang w:val="de-DE" w:eastAsia="zh-CN"/>
        </w:rPr>
        <w:t>结构</w:t>
      </w:r>
      <w:r>
        <w:rPr>
          <w:rFonts w:hint="eastAsia" w:ascii="仿宋" w:hAnsi="仿宋" w:eastAsia="仿宋" w:cs="仿宋"/>
          <w:sz w:val="24"/>
          <w:szCs w:val="24"/>
          <w:lang w:val="de-DE"/>
        </w:rPr>
        <w:t>，以特殊化S型为主，转弯半径≤390mm，并形成单头循环工作，传送速度≥3m/min；整体采用专用型材拼接，配备专用一体化高低可调移动式脚轮，造型美观并兼顾稳定，产线以材料加工制造为主，其中满足各种定位和限位功能，并输送至装配环节，完成产品的装配</w:t>
      </w:r>
      <w:r>
        <w:rPr>
          <w:rFonts w:hint="eastAsia" w:ascii="仿宋" w:hAnsi="仿宋" w:eastAsia="仿宋" w:cs="仿宋"/>
          <w:sz w:val="24"/>
          <w:szCs w:val="24"/>
          <w:lang w:val="de-DE" w:eastAsia="zh-CN"/>
        </w:rPr>
        <w:t>及</w:t>
      </w:r>
      <w:r>
        <w:rPr>
          <w:rFonts w:hint="eastAsia" w:ascii="仿宋" w:hAnsi="仿宋" w:eastAsia="仿宋" w:cs="仿宋"/>
          <w:sz w:val="24"/>
          <w:szCs w:val="24"/>
          <w:lang w:val="de-DE"/>
        </w:rPr>
        <w:t>入库；定位装置采用三爪上下夹紧装置，配备铣削工序；配备变频器单元，配备不同传感器（产线化），配有便携式安装网孔板；自动化产线满足平台系统的检测管理和控制。产线的所有传感</w:t>
      </w:r>
      <w:r>
        <w:rPr>
          <w:rFonts w:hint="eastAsia" w:ascii="仿宋" w:hAnsi="仿宋" w:eastAsia="仿宋" w:cs="仿宋"/>
          <w:sz w:val="24"/>
          <w:szCs w:val="24"/>
          <w:lang w:val="de-DE" w:eastAsia="zh-CN"/>
        </w:rPr>
        <w:t>器</w:t>
      </w:r>
      <w:r>
        <w:rPr>
          <w:rFonts w:hint="eastAsia" w:ascii="仿宋" w:hAnsi="仿宋" w:eastAsia="仿宋" w:cs="仿宋"/>
          <w:sz w:val="24"/>
          <w:szCs w:val="24"/>
          <w:lang w:val="de-DE"/>
        </w:rPr>
        <w:t>及执行单元可通过预测性维护云平台的通信协议将数据上传至云平台，并可通过设置云平台的触发机制实现数据</w:t>
      </w:r>
      <w:r>
        <w:rPr>
          <w:rFonts w:hint="eastAsia" w:ascii="仿宋" w:hAnsi="仿宋" w:eastAsia="仿宋" w:cs="仿宋"/>
          <w:sz w:val="24"/>
          <w:szCs w:val="24"/>
          <w:lang w:val="de-DE" w:eastAsia="zh-CN"/>
        </w:rPr>
        <w:t>检测、数据建模、</w:t>
      </w:r>
      <w:r>
        <w:rPr>
          <w:rFonts w:hint="eastAsia" w:ascii="仿宋" w:hAnsi="仿宋" w:eastAsia="仿宋" w:cs="仿宋"/>
          <w:sz w:val="24"/>
          <w:szCs w:val="24"/>
          <w:lang w:val="de-DE"/>
        </w:rPr>
        <w:t>数据预警和故障诊断。产线数据可在云平台进行数据建模、数据分析及智能工单发送，达到预测性维护的全生命周期</w:t>
      </w:r>
      <w:r>
        <w:rPr>
          <w:rFonts w:hint="eastAsia" w:ascii="仿宋" w:hAnsi="仿宋" w:eastAsia="仿宋" w:cs="仿宋"/>
          <w:sz w:val="24"/>
          <w:szCs w:val="24"/>
          <w:lang w:val="de-DE" w:eastAsia="zh-CN"/>
        </w:rPr>
        <w:t>管理</w:t>
      </w:r>
      <w:r>
        <w:rPr>
          <w:rFonts w:hint="eastAsia" w:ascii="仿宋" w:hAnsi="仿宋" w:eastAsia="仿宋" w:cs="仿宋"/>
          <w:sz w:val="24"/>
          <w:szCs w:val="24"/>
          <w:lang w:val="de-DE"/>
        </w:rPr>
        <w:t>。</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de-DE" w:eastAsia="zh-CN"/>
        </w:rPr>
      </w:pPr>
      <w:bookmarkStart w:id="195" w:name="_Toc12682"/>
      <w:bookmarkStart w:id="196" w:name="_Toc20709"/>
      <w:bookmarkStart w:id="197" w:name="_Toc27416"/>
      <w:bookmarkStart w:id="198" w:name="_Toc3172"/>
      <w:bookmarkStart w:id="199" w:name="_Toc22845"/>
      <w:bookmarkStart w:id="200" w:name="_Toc27540"/>
      <w:r>
        <w:rPr>
          <w:rFonts w:hint="eastAsia" w:ascii="宋体" w:hAnsi="宋体" w:eastAsia="宋体" w:cs="宋体"/>
          <w:b/>
          <w:bCs/>
          <w:color w:val="333333"/>
          <w:kern w:val="0"/>
          <w:sz w:val="24"/>
          <w:szCs w:val="24"/>
          <w:shd w:val="clear" w:color="auto" w:fill="FFFFFF"/>
          <w:lang w:val="en-US" w:eastAsia="zh-CN"/>
        </w:rPr>
        <w:t>②</w:t>
      </w:r>
      <w:r>
        <w:rPr>
          <w:rFonts w:hint="eastAsia" w:ascii="仿宋" w:hAnsi="仿宋" w:eastAsia="仿宋" w:cs="仿宋"/>
          <w:b/>
          <w:bCs/>
          <w:color w:val="333333"/>
          <w:kern w:val="0"/>
          <w:sz w:val="24"/>
          <w:szCs w:val="24"/>
          <w:shd w:val="clear" w:color="auto" w:fill="FFFFFF"/>
          <w:lang w:val="en-US" w:eastAsia="zh-CN"/>
        </w:rPr>
        <w:t>产线控制单元</w:t>
      </w:r>
      <w:bookmarkEnd w:id="195"/>
      <w:bookmarkEnd w:id="196"/>
      <w:bookmarkEnd w:id="197"/>
      <w:bookmarkEnd w:id="198"/>
      <w:bookmarkEnd w:id="199"/>
      <w:bookmarkEnd w:id="20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de-DE" w:eastAsia="zh-CN"/>
        </w:rPr>
        <w:t>该单元</w:t>
      </w:r>
      <w:r>
        <w:rPr>
          <w:rFonts w:hint="eastAsia" w:ascii="仿宋" w:hAnsi="仿宋" w:eastAsia="仿宋" w:cs="仿宋"/>
          <w:sz w:val="24"/>
          <w:szCs w:val="24"/>
          <w:lang w:val="de-DE"/>
        </w:rPr>
        <w:t>配备可编程控制器</w:t>
      </w:r>
      <w:r>
        <w:rPr>
          <w:rFonts w:hint="eastAsia" w:ascii="仿宋" w:hAnsi="仿宋" w:eastAsia="仿宋" w:cs="仿宋"/>
          <w:sz w:val="24"/>
          <w:szCs w:val="24"/>
          <w:lang w:val="de-DE" w:eastAsia="zh-CN"/>
        </w:rPr>
        <w:t>（</w:t>
      </w:r>
      <w:r>
        <w:rPr>
          <w:rFonts w:hint="eastAsia" w:ascii="仿宋" w:hAnsi="仿宋" w:eastAsia="仿宋" w:cs="仿宋"/>
          <w:sz w:val="24"/>
          <w:szCs w:val="24"/>
          <w:lang w:val="de-DE"/>
        </w:rPr>
        <w:t>SINAMICS CPU1215C</w:t>
      </w:r>
      <w:r>
        <w:rPr>
          <w:rFonts w:hint="eastAsia" w:ascii="仿宋" w:hAnsi="仿宋" w:eastAsia="仿宋" w:cs="仿宋"/>
          <w:sz w:val="24"/>
          <w:szCs w:val="24"/>
          <w:lang w:val="de-DE" w:eastAsia="zh-CN"/>
        </w:rPr>
        <w:t>）、</w:t>
      </w:r>
      <w:r>
        <w:rPr>
          <w:rFonts w:hint="eastAsia" w:ascii="仿宋" w:hAnsi="仿宋" w:eastAsia="仿宋" w:cs="仿宋"/>
          <w:sz w:val="24"/>
          <w:szCs w:val="24"/>
          <w:lang w:val="de-DE"/>
        </w:rPr>
        <w:t>双面控制</w:t>
      </w:r>
      <w:r>
        <w:rPr>
          <w:rFonts w:hint="eastAsia" w:ascii="仿宋" w:hAnsi="仿宋" w:eastAsia="仿宋" w:cs="仿宋"/>
          <w:sz w:val="24"/>
          <w:szCs w:val="24"/>
          <w:lang w:val="de-DE" w:eastAsia="zh-CN"/>
        </w:rPr>
        <w:t>面板、</w:t>
      </w:r>
      <w:r>
        <w:rPr>
          <w:rFonts w:hint="eastAsia" w:ascii="仿宋" w:hAnsi="仿宋" w:eastAsia="仿宋" w:cs="仿宋"/>
          <w:sz w:val="24"/>
          <w:szCs w:val="24"/>
          <w:lang w:val="de-DE"/>
        </w:rPr>
        <w:t>10.2英寸</w:t>
      </w:r>
      <w:r>
        <w:rPr>
          <w:rFonts w:hint="eastAsia" w:ascii="仿宋" w:hAnsi="仿宋" w:eastAsia="仿宋" w:cs="仿宋"/>
          <w:sz w:val="24"/>
          <w:szCs w:val="24"/>
          <w:lang w:val="de-DE" w:eastAsia="zh-CN"/>
        </w:rPr>
        <w:t>工业触摸屏</w:t>
      </w:r>
      <w:r>
        <w:rPr>
          <w:rFonts w:hint="eastAsia" w:ascii="仿宋" w:hAnsi="仿宋" w:eastAsia="仿宋" w:cs="仿宋"/>
          <w:sz w:val="24"/>
          <w:szCs w:val="24"/>
          <w:lang w:val="de-DE"/>
        </w:rPr>
        <w:t>、气动机械装置、磁性传感器、光纤传感器、漫反射光电传感器和接近传感器</w:t>
      </w:r>
      <w:r>
        <w:rPr>
          <w:rFonts w:hint="eastAsia" w:ascii="仿宋" w:hAnsi="仿宋" w:eastAsia="仿宋" w:cs="仿宋"/>
          <w:sz w:val="24"/>
          <w:szCs w:val="24"/>
          <w:lang w:val="de-DE" w:eastAsia="zh-CN"/>
        </w:rPr>
        <w:t>。通过</w:t>
      </w:r>
      <w:r>
        <w:rPr>
          <w:rFonts w:hint="eastAsia" w:ascii="仿宋" w:hAnsi="仿宋" w:eastAsia="仿宋" w:cs="仿宋"/>
          <w:sz w:val="24"/>
          <w:szCs w:val="24"/>
          <w:lang w:val="de-DE"/>
        </w:rPr>
        <w:t>双面控制</w:t>
      </w:r>
      <w:r>
        <w:rPr>
          <w:rFonts w:hint="eastAsia" w:ascii="仿宋" w:hAnsi="仿宋" w:eastAsia="仿宋" w:cs="仿宋"/>
          <w:sz w:val="24"/>
          <w:szCs w:val="24"/>
          <w:lang w:val="de-DE" w:eastAsia="zh-CN"/>
        </w:rPr>
        <w:t>面板的</w:t>
      </w:r>
      <w:r>
        <w:rPr>
          <w:rFonts w:hint="eastAsia" w:ascii="仿宋" w:hAnsi="仿宋" w:eastAsia="仿宋" w:cs="仿宋"/>
          <w:sz w:val="24"/>
          <w:szCs w:val="24"/>
          <w:lang w:val="de-DE"/>
        </w:rPr>
        <w:t>整机启停、急停、站点启停</w:t>
      </w:r>
      <w:r>
        <w:rPr>
          <w:rFonts w:hint="eastAsia" w:ascii="仿宋" w:hAnsi="仿宋" w:eastAsia="仿宋" w:cs="仿宋"/>
          <w:sz w:val="24"/>
          <w:szCs w:val="24"/>
          <w:lang w:val="de-DE" w:eastAsia="zh-CN"/>
        </w:rPr>
        <w:t>按钮开关对</w:t>
      </w:r>
      <w:r>
        <w:rPr>
          <w:rFonts w:hint="eastAsia" w:ascii="仿宋" w:hAnsi="仿宋" w:eastAsia="仿宋" w:cs="仿宋"/>
          <w:sz w:val="24"/>
          <w:szCs w:val="24"/>
          <w:lang w:val="de-DE"/>
        </w:rPr>
        <w:t>整机系统的运转进行控制，实现</w:t>
      </w:r>
      <w:r>
        <w:rPr>
          <w:rFonts w:hint="eastAsia" w:ascii="仿宋" w:hAnsi="仿宋" w:eastAsia="仿宋" w:cs="仿宋"/>
          <w:sz w:val="24"/>
          <w:szCs w:val="24"/>
          <w:lang w:val="de-DE" w:eastAsia="zh-CN"/>
        </w:rPr>
        <w:t>产线的</w:t>
      </w:r>
      <w:r>
        <w:rPr>
          <w:rFonts w:hint="eastAsia" w:ascii="仿宋" w:hAnsi="仿宋" w:eastAsia="仿宋" w:cs="仿宋"/>
          <w:sz w:val="24"/>
          <w:szCs w:val="24"/>
          <w:lang w:val="de-DE"/>
        </w:rPr>
        <w:t>上下料</w:t>
      </w:r>
      <w:r>
        <w:rPr>
          <w:rFonts w:hint="eastAsia" w:ascii="仿宋" w:hAnsi="仿宋" w:eastAsia="仿宋" w:cs="仿宋"/>
          <w:sz w:val="24"/>
          <w:szCs w:val="24"/>
          <w:lang w:val="de-DE" w:eastAsia="zh-CN"/>
        </w:rPr>
        <w:t>，物料</w:t>
      </w:r>
      <w:r>
        <w:rPr>
          <w:rFonts w:hint="eastAsia" w:ascii="仿宋" w:hAnsi="仿宋" w:eastAsia="仿宋" w:cs="仿宋"/>
          <w:sz w:val="24"/>
          <w:szCs w:val="24"/>
          <w:lang w:val="de-DE"/>
        </w:rPr>
        <w:t>抓取、放置、旋转、装配、</w:t>
      </w:r>
      <w:r>
        <w:rPr>
          <w:rFonts w:hint="eastAsia" w:ascii="仿宋" w:hAnsi="仿宋" w:eastAsia="仿宋" w:cs="仿宋"/>
          <w:sz w:val="24"/>
          <w:szCs w:val="24"/>
          <w:lang w:val="de-DE" w:eastAsia="zh-CN"/>
        </w:rPr>
        <w:t>入库；通过工业触摸屏中的</w:t>
      </w:r>
      <w:r>
        <w:rPr>
          <w:rFonts w:hint="eastAsia" w:ascii="仿宋" w:hAnsi="仿宋" w:eastAsia="仿宋" w:cs="仿宋"/>
          <w:sz w:val="24"/>
          <w:szCs w:val="24"/>
          <w:lang w:val="de-DE"/>
        </w:rPr>
        <w:t>产线状态监测和反馈系统，对产线运行进行数据监控并通过执行和反馈进行联动及数据读取</w:t>
      </w:r>
      <w:r>
        <w:rPr>
          <w:rFonts w:hint="eastAsia" w:ascii="仿宋" w:hAnsi="仿宋" w:eastAsia="仿宋" w:cs="仿宋"/>
          <w:sz w:val="24"/>
          <w:szCs w:val="24"/>
          <w:lang w:val="de-DE" w:eastAsia="zh-CN"/>
        </w:rPr>
        <w:t>；</w:t>
      </w:r>
      <w:r>
        <w:rPr>
          <w:rFonts w:hint="eastAsia" w:ascii="仿宋" w:hAnsi="仿宋" w:eastAsia="仿宋" w:cs="仿宋"/>
          <w:sz w:val="24"/>
          <w:szCs w:val="24"/>
          <w:lang w:val="de-DE"/>
        </w:rPr>
        <w:t>通过传感器</w:t>
      </w:r>
      <w:r>
        <w:rPr>
          <w:rFonts w:hint="eastAsia" w:ascii="仿宋" w:hAnsi="仿宋" w:eastAsia="仿宋" w:cs="仿宋"/>
          <w:sz w:val="24"/>
          <w:szCs w:val="24"/>
          <w:lang w:val="de-DE" w:eastAsia="zh-CN"/>
        </w:rPr>
        <w:t>反馈的数据</w:t>
      </w:r>
      <w:r>
        <w:rPr>
          <w:rFonts w:hint="eastAsia" w:ascii="仿宋" w:hAnsi="仿宋" w:eastAsia="仿宋" w:cs="仿宋"/>
          <w:sz w:val="24"/>
          <w:szCs w:val="24"/>
          <w:lang w:val="de-DE"/>
        </w:rPr>
        <w:t>，结合机械、反馈</w:t>
      </w:r>
      <w:r>
        <w:rPr>
          <w:rFonts w:hint="eastAsia" w:ascii="仿宋" w:hAnsi="仿宋" w:eastAsia="仿宋" w:cs="仿宋"/>
          <w:sz w:val="24"/>
          <w:szCs w:val="24"/>
          <w:lang w:val="de-DE" w:eastAsia="zh-CN"/>
        </w:rPr>
        <w:t>，</w:t>
      </w:r>
      <w:r>
        <w:rPr>
          <w:rFonts w:hint="eastAsia" w:ascii="仿宋" w:hAnsi="仿宋" w:eastAsia="仿宋" w:cs="仿宋"/>
          <w:sz w:val="24"/>
          <w:szCs w:val="24"/>
          <w:lang w:val="de-DE"/>
        </w:rPr>
        <w:t>实现自动化产线准确动作控制</w:t>
      </w:r>
      <w:r>
        <w:rPr>
          <w:rFonts w:hint="eastAsia" w:ascii="仿宋" w:hAnsi="仿宋" w:eastAsia="仿宋" w:cs="仿宋"/>
          <w:sz w:val="24"/>
          <w:szCs w:val="24"/>
          <w:lang w:val="de-DE" w:eastAsia="zh-CN"/>
        </w:rPr>
        <w:t>；通过</w:t>
      </w:r>
      <w:r>
        <w:rPr>
          <w:rFonts w:hint="eastAsia" w:ascii="仿宋" w:hAnsi="仿宋" w:eastAsia="仿宋" w:cs="仿宋"/>
          <w:sz w:val="24"/>
          <w:szCs w:val="24"/>
          <w:lang w:val="de-DE"/>
        </w:rPr>
        <w:t>可编程控制器实时</w:t>
      </w:r>
      <w:r>
        <w:rPr>
          <w:rFonts w:hint="eastAsia" w:ascii="仿宋" w:hAnsi="仿宋" w:eastAsia="仿宋" w:cs="仿宋"/>
          <w:sz w:val="24"/>
          <w:szCs w:val="24"/>
          <w:lang w:val="de-DE" w:eastAsia="zh-CN"/>
        </w:rPr>
        <w:t>将数据</w:t>
      </w:r>
      <w:r>
        <w:rPr>
          <w:rFonts w:hint="eastAsia" w:ascii="仿宋" w:hAnsi="仿宋" w:eastAsia="仿宋" w:cs="仿宋"/>
          <w:sz w:val="24"/>
          <w:szCs w:val="24"/>
          <w:lang w:val="de-DE"/>
        </w:rPr>
        <w:t>上传</w:t>
      </w:r>
      <w:r>
        <w:rPr>
          <w:rFonts w:hint="eastAsia" w:ascii="仿宋" w:hAnsi="仿宋" w:eastAsia="仿宋" w:cs="仿宋"/>
          <w:sz w:val="24"/>
          <w:szCs w:val="24"/>
          <w:lang w:val="de-DE" w:eastAsia="zh-CN"/>
        </w:rPr>
        <w:t>至</w:t>
      </w:r>
      <w:r>
        <w:rPr>
          <w:rFonts w:hint="eastAsia" w:ascii="仿宋" w:hAnsi="仿宋" w:eastAsia="仿宋" w:cs="仿宋"/>
          <w:sz w:val="24"/>
          <w:szCs w:val="24"/>
          <w:lang w:val="de-DE"/>
        </w:rPr>
        <w:t>云平台</w:t>
      </w:r>
      <w:r>
        <w:rPr>
          <w:rFonts w:hint="eastAsia" w:ascii="仿宋" w:hAnsi="仿宋" w:eastAsia="仿宋" w:cs="仿宋"/>
          <w:sz w:val="24"/>
          <w:szCs w:val="24"/>
          <w:lang w:val="de-DE" w:eastAsia="zh-CN"/>
        </w:rPr>
        <w:t>，</w:t>
      </w:r>
      <w:r>
        <w:rPr>
          <w:rFonts w:hint="eastAsia" w:ascii="仿宋" w:hAnsi="仿宋" w:eastAsia="仿宋" w:cs="仿宋"/>
          <w:sz w:val="24"/>
          <w:szCs w:val="24"/>
          <w:lang w:val="de-DE"/>
        </w:rPr>
        <w:t>进行数据采集、建模、分析及预警</w:t>
      </w:r>
      <w:r>
        <w:rPr>
          <w:rFonts w:hint="eastAsia" w:ascii="仿宋" w:hAnsi="仿宋" w:eastAsia="仿宋" w:cs="仿宋"/>
          <w:sz w:val="24"/>
          <w:szCs w:val="24"/>
          <w:lang w:val="de-DE" w:eastAsia="zh-CN"/>
        </w:rPr>
        <w:t>管理。</w:t>
      </w:r>
    </w:p>
    <w:bookmarkEnd w:id="179"/>
    <w:bookmarkEnd w:id="180"/>
    <w:bookmarkEnd w:id="181"/>
    <w:bookmarkEnd w:id="182"/>
    <w:bookmarkEnd w:id="183"/>
    <w:bookmarkEnd w:id="184"/>
    <w:bookmarkEnd w:id="185"/>
    <w:bookmarkEnd w:id="186"/>
    <w:bookmarkEnd w:id="187"/>
    <w:bookmarkEnd w:id="188"/>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100" w:after="100" w:line="360" w:lineRule="auto"/>
        <w:ind w:left="0" w:leftChars="0" w:firstLine="0" w:firstLineChars="0"/>
        <w:jc w:val="left"/>
        <w:textAlignment w:val="auto"/>
        <w:outlineLvl w:val="2"/>
        <w:rPr>
          <w:rFonts w:hint="eastAsia" w:ascii="仿宋" w:hAnsi="仿宋" w:eastAsia="仿宋" w:cs="仿宋"/>
          <w:b/>
          <w:bCs/>
          <w:color w:val="333333"/>
          <w:kern w:val="0"/>
          <w:sz w:val="24"/>
          <w:szCs w:val="24"/>
          <w:shd w:val="clear" w:color="auto" w:fill="FFFFFF"/>
          <w:lang w:val="en-US" w:eastAsia="zh-CN"/>
        </w:rPr>
      </w:pPr>
      <w:bookmarkStart w:id="201" w:name="_Toc30011"/>
      <w:bookmarkStart w:id="202" w:name="_Toc28839"/>
      <w:bookmarkStart w:id="203" w:name="_Toc25082"/>
      <w:bookmarkStart w:id="204" w:name="_Toc128"/>
      <w:bookmarkStart w:id="205" w:name="_Toc3210"/>
      <w:bookmarkStart w:id="206" w:name="_Toc13936"/>
      <w:bookmarkStart w:id="207" w:name="_Toc26132"/>
      <w:bookmarkStart w:id="208" w:name="_Toc17239"/>
      <w:bookmarkStart w:id="209" w:name="_Toc25576"/>
      <w:bookmarkStart w:id="210" w:name="_Toc28558"/>
      <w:r>
        <w:rPr>
          <w:rFonts w:hint="eastAsia" w:cs="仿宋"/>
          <w:b/>
          <w:bCs/>
          <w:color w:val="333333"/>
          <w:kern w:val="0"/>
          <w:sz w:val="24"/>
          <w:szCs w:val="24"/>
          <w:shd w:val="clear" w:color="auto" w:fill="FFFFFF"/>
          <w:lang w:val="en-US" w:eastAsia="zh-CN"/>
        </w:rPr>
        <w:t>7、</w:t>
      </w:r>
      <w:r>
        <w:rPr>
          <w:rFonts w:hint="eastAsia" w:ascii="仿宋" w:hAnsi="仿宋" w:eastAsia="仿宋" w:cs="仿宋"/>
          <w:b/>
          <w:bCs/>
          <w:color w:val="333333"/>
          <w:kern w:val="0"/>
          <w:sz w:val="24"/>
          <w:szCs w:val="24"/>
          <w:shd w:val="clear" w:color="auto" w:fill="FFFFFF"/>
          <w:lang w:val="de-DE" w:eastAsia="zh-CN"/>
        </w:rPr>
        <w:t>幻联工业互联网预测性维护平台</w:t>
      </w:r>
      <w:bookmarkEnd w:id="201"/>
      <w:bookmarkEnd w:id="202"/>
      <w:bookmarkEnd w:id="203"/>
      <w:bookmarkEnd w:id="204"/>
      <w:bookmarkEnd w:id="205"/>
      <w:bookmarkEnd w:id="206"/>
      <w:bookmarkEnd w:id="207"/>
      <w:bookmarkEnd w:id="208"/>
      <w:bookmarkEnd w:id="209"/>
      <w:bookmarkEnd w:id="210"/>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de-DE" w:eastAsia="zh-CN" w:bidi="ar-SA"/>
        </w:rPr>
        <w:t>幻联工业互联网预测性维护系统平台</w:t>
      </w:r>
      <w:r>
        <w:rPr>
          <w:rFonts w:hint="eastAsia" w:ascii="仿宋" w:hAnsi="仿宋" w:eastAsia="仿宋" w:cs="仿宋"/>
          <w:b w:val="0"/>
          <w:bCs w:val="0"/>
          <w:color w:val="333333"/>
          <w:kern w:val="0"/>
          <w:sz w:val="24"/>
          <w:szCs w:val="24"/>
          <w:shd w:val="clear" w:color="auto" w:fill="FFFFFF"/>
          <w:lang w:val="de-DE" w:eastAsia="zh-CN"/>
        </w:rPr>
        <w:t>是一个装备数据智能平台</w:t>
      </w:r>
      <w:r>
        <w:rPr>
          <w:rFonts w:hint="eastAsia" w:ascii="仿宋" w:hAnsi="仿宋" w:eastAsia="仿宋" w:cs="仿宋"/>
          <w:kern w:val="2"/>
          <w:sz w:val="24"/>
          <w:szCs w:val="24"/>
          <w:lang w:val="de-DE" w:eastAsia="zh-CN" w:bidi="ar-SA"/>
        </w:rPr>
        <w:t>，可根据边缘层网关实时采集的各类数据信息，提供实时（近实时）生产数据；并且可以根据用户</w:t>
      </w:r>
      <w:r>
        <w:rPr>
          <w:rFonts w:hint="eastAsia" w:cs="仿宋"/>
          <w:kern w:val="2"/>
          <w:sz w:val="24"/>
          <w:szCs w:val="24"/>
          <w:lang w:val="en-US" w:eastAsia="zh-CN" w:bidi="ar-SA"/>
        </w:rPr>
        <w:t>选择的</w:t>
      </w:r>
      <w:r>
        <w:rPr>
          <w:rFonts w:hint="eastAsia" w:ascii="仿宋" w:hAnsi="仿宋" w:eastAsia="仿宋" w:cs="仿宋"/>
          <w:kern w:val="2"/>
          <w:sz w:val="24"/>
          <w:szCs w:val="24"/>
          <w:lang w:val="de-DE" w:eastAsia="zh-CN" w:bidi="ar-SA"/>
        </w:rPr>
        <w:t>规则对目标和对应信息进行通知/</w:t>
      </w:r>
      <w:r>
        <w:rPr>
          <w:rFonts w:hint="eastAsia" w:cs="仿宋"/>
          <w:kern w:val="2"/>
          <w:sz w:val="24"/>
          <w:szCs w:val="24"/>
          <w:lang w:val="en-US" w:eastAsia="zh-CN" w:bidi="ar-SA"/>
        </w:rPr>
        <w:t>数据分析</w:t>
      </w:r>
      <w:r>
        <w:rPr>
          <w:rFonts w:hint="eastAsia" w:ascii="仿宋" w:hAnsi="仿宋" w:eastAsia="仿宋" w:cs="仿宋"/>
          <w:kern w:val="2"/>
          <w:sz w:val="24"/>
          <w:szCs w:val="24"/>
          <w:lang w:val="de-DE" w:eastAsia="zh-CN" w:bidi="ar-SA"/>
        </w:rPr>
        <w:t>。它为客户提供了生产系统状态的概述，并允许客户对偏离标准条件的情况做出快速反应，从而支持持续改进。它可以对正在进行的状态进行记录以获得最大的数据透明度；可以帮助将生产误差和工艺偏差降至最低。</w:t>
      </w:r>
      <w:bookmarkStart w:id="211" w:name="_Toc24906"/>
      <w:bookmarkStart w:id="212" w:name="_Toc20212"/>
      <w:bookmarkStart w:id="213" w:name="_Toc165"/>
      <w:bookmarkStart w:id="214" w:name="_Toc12925"/>
      <w:bookmarkStart w:id="215" w:name="_Toc18850"/>
      <w:r>
        <w:rPr>
          <w:rFonts w:hint="eastAsia" w:ascii="仿宋" w:hAnsi="仿宋" w:eastAsia="仿宋" w:cs="仿宋"/>
          <w:kern w:val="2"/>
          <w:sz w:val="24"/>
          <w:szCs w:val="24"/>
          <w:lang w:val="de-DE" w:eastAsia="zh-CN" w:bidi="ar-SA"/>
        </w:rPr>
        <w:t>幻联工业互联网预测性维护系统平台包含软件系统和预测性维护专用网关</w:t>
      </w:r>
      <w:bookmarkEnd w:id="211"/>
      <w:bookmarkEnd w:id="212"/>
      <w:bookmarkEnd w:id="213"/>
      <w:bookmarkEnd w:id="214"/>
      <w:bookmarkEnd w:id="215"/>
      <w:r>
        <w:rPr>
          <w:rFonts w:hint="eastAsia" w:ascii="仿宋" w:hAnsi="仿宋" w:eastAsia="仿宋" w:cs="仿宋"/>
          <w:kern w:val="2"/>
          <w:sz w:val="24"/>
          <w:szCs w:val="24"/>
          <w:lang w:val="de-DE" w:eastAsia="zh-CN" w:bidi="ar-SA"/>
        </w:rPr>
        <w:t>。</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bookmarkStart w:id="216" w:name="_Toc7853"/>
      <w:bookmarkStart w:id="217" w:name="_Toc18360"/>
      <w:bookmarkStart w:id="218" w:name="_Toc15273"/>
      <w:bookmarkStart w:id="219" w:name="_Toc20243"/>
      <w:bookmarkStart w:id="220" w:name="_Toc29618"/>
      <w:bookmarkStart w:id="221" w:name="_Toc27722"/>
      <w:r>
        <w:rPr>
          <w:rFonts w:hint="eastAsia" w:cs="仿宋"/>
          <w:b/>
          <w:bCs/>
          <w:color w:val="333333"/>
          <w:kern w:val="0"/>
          <w:sz w:val="24"/>
          <w:szCs w:val="24"/>
          <w:shd w:val="clear" w:color="auto" w:fill="FFFFFF"/>
          <w:lang w:val="en-US" w:eastAsia="zh-CN"/>
        </w:rPr>
        <w:t>（1）</w:t>
      </w:r>
      <w:r>
        <w:rPr>
          <w:rFonts w:hint="eastAsia" w:ascii="仿宋" w:hAnsi="仿宋" w:eastAsia="仿宋" w:cs="仿宋"/>
          <w:b/>
          <w:bCs/>
          <w:color w:val="333333"/>
          <w:kern w:val="0"/>
          <w:sz w:val="24"/>
          <w:szCs w:val="24"/>
          <w:shd w:val="clear" w:color="auto" w:fill="FFFFFF"/>
          <w:lang w:val="en-US" w:eastAsia="zh-CN"/>
        </w:rPr>
        <w:t>软件系统功能</w:t>
      </w:r>
      <w:bookmarkEnd w:id="216"/>
      <w:bookmarkEnd w:id="217"/>
      <w:bookmarkEnd w:id="218"/>
      <w:bookmarkEnd w:id="219"/>
      <w:bookmarkEnd w:id="220"/>
      <w:bookmarkEnd w:id="221"/>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r>
        <w:rPr>
          <w:rFonts w:hint="eastAsia" w:ascii="仿宋" w:hAnsi="仿宋" w:eastAsia="仿宋" w:cs="仿宋"/>
          <w:b/>
          <w:bCs/>
          <w:color w:val="333333"/>
          <w:kern w:val="0"/>
          <w:sz w:val="24"/>
          <w:szCs w:val="24"/>
          <w:shd w:val="clear" w:color="auto" w:fill="FFFFFF"/>
          <w:lang w:val="en-US" w:eastAsia="zh-CN"/>
        </w:rPr>
        <w:t>设备管理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val="en-US" w:eastAsia="zh-CN"/>
        </w:rPr>
        <w:t>软件</w:t>
      </w:r>
      <w:r>
        <w:rPr>
          <w:rFonts w:hint="eastAsia" w:ascii="仿宋" w:hAnsi="仿宋" w:eastAsia="仿宋" w:cs="仿宋"/>
          <w:kern w:val="0"/>
          <w:sz w:val="24"/>
          <w:szCs w:val="24"/>
          <w:shd w:val="clear" w:color="auto" w:fill="FFFFFF"/>
        </w:rPr>
        <w:t>最</w:t>
      </w:r>
      <w:r>
        <w:rPr>
          <w:rFonts w:hint="eastAsia" w:ascii="仿宋" w:hAnsi="仿宋" w:eastAsia="仿宋" w:cs="仿宋"/>
          <w:kern w:val="2"/>
          <w:sz w:val="24"/>
          <w:szCs w:val="24"/>
          <w:lang w:val="de-DE" w:eastAsia="zh-CN" w:bidi="ar-SA"/>
        </w:rPr>
        <w:t>多</w:t>
      </w:r>
      <w:r>
        <w:rPr>
          <w:rFonts w:hint="eastAsia" w:ascii="仿宋" w:hAnsi="仿宋" w:eastAsia="仿宋" w:cs="仿宋"/>
          <w:kern w:val="0"/>
          <w:sz w:val="24"/>
          <w:szCs w:val="24"/>
          <w:shd w:val="clear" w:color="auto" w:fill="FFFFFF"/>
        </w:rPr>
        <w:t>监视</w:t>
      </w:r>
      <w:r>
        <w:rPr>
          <w:rFonts w:hint="eastAsia" w:ascii="仿宋" w:hAnsi="仿宋" w:eastAsia="仿宋" w:cs="仿宋"/>
          <w:kern w:val="2"/>
          <w:sz w:val="24"/>
          <w:szCs w:val="24"/>
          <w:lang w:val="de-DE" w:eastAsia="zh-CN" w:bidi="ar-SA"/>
        </w:rPr>
        <w:t>5.000个设备，可以对设备进行分组，添加、配置和删除设备、将一个或多个设备分配给节点。</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rPr>
      </w:pPr>
      <w:r>
        <w:rPr>
          <w:rFonts w:hint="eastAsia" w:ascii="宋体" w:hAnsi="宋体" w:eastAsia="宋体" w:cs="宋体"/>
          <w:b/>
          <w:bCs/>
          <w:color w:val="333333"/>
          <w:kern w:val="0"/>
          <w:sz w:val="24"/>
          <w:szCs w:val="24"/>
          <w:shd w:val="clear" w:color="auto" w:fill="FFFFFF"/>
          <w:lang w:val="en-US" w:eastAsia="zh-CN"/>
        </w:rPr>
        <w:t>①</w:t>
      </w:r>
      <w:r>
        <w:rPr>
          <w:rFonts w:hint="eastAsia" w:ascii="仿宋" w:hAnsi="仿宋" w:eastAsia="仿宋" w:cs="仿宋"/>
          <w:kern w:val="0"/>
          <w:sz w:val="24"/>
          <w:szCs w:val="24"/>
          <w:shd w:val="clear" w:color="auto" w:fill="FFFFFF"/>
        </w:rPr>
        <w:t>设备状态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通过仪表板显示添加到</w:t>
      </w:r>
      <w:r>
        <w:rPr>
          <w:rFonts w:hint="eastAsia" w:ascii="仿宋" w:hAnsi="仿宋" w:eastAsia="仿宋" w:cs="仿宋"/>
          <w:kern w:val="0"/>
          <w:sz w:val="24"/>
          <w:szCs w:val="24"/>
          <w:shd w:val="clear" w:color="auto" w:fill="FFFFFF"/>
          <w:lang w:val="en-US" w:eastAsia="zh-CN"/>
        </w:rPr>
        <w:t>平台</w:t>
      </w:r>
      <w:r>
        <w:rPr>
          <w:rFonts w:hint="eastAsia" w:ascii="仿宋" w:hAnsi="仿宋" w:eastAsia="仿宋" w:cs="仿宋"/>
          <w:kern w:val="0"/>
          <w:sz w:val="24"/>
          <w:szCs w:val="24"/>
          <w:shd w:val="clear" w:color="auto" w:fill="FFFFFF"/>
        </w:rPr>
        <w:t>的所有</w:t>
      </w:r>
      <w:r>
        <w:rPr>
          <w:rFonts w:hint="eastAsia" w:ascii="仿宋" w:hAnsi="仿宋" w:eastAsia="仿宋" w:cs="仿宋"/>
          <w:kern w:val="0"/>
          <w:sz w:val="24"/>
          <w:szCs w:val="24"/>
          <w:shd w:val="clear" w:color="auto" w:fill="FFFFFF"/>
          <w:lang w:val="de-DE" w:eastAsia="zh-CN"/>
        </w:rPr>
        <w:t>设备的状态。</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kern w:val="0"/>
          <w:sz w:val="24"/>
          <w:szCs w:val="24"/>
          <w:shd w:val="clear" w:color="auto" w:fill="FFFFFF"/>
          <w:lang w:val="en-US"/>
        </w:rPr>
      </w:pPr>
      <w:r>
        <w:rPr>
          <w:rFonts w:hint="eastAsia" w:ascii="宋体" w:hAnsi="宋体" w:eastAsia="宋体" w:cs="宋体"/>
          <w:b/>
          <w:bCs/>
          <w:color w:val="333333"/>
          <w:kern w:val="0"/>
          <w:sz w:val="24"/>
          <w:szCs w:val="24"/>
          <w:shd w:val="clear" w:color="auto" w:fill="FFFFFF"/>
          <w:lang w:val="en-US" w:eastAsia="zh-CN"/>
        </w:rPr>
        <w:t>②</w:t>
      </w:r>
      <w:r>
        <w:rPr>
          <w:rFonts w:hint="eastAsia" w:ascii="仿宋" w:hAnsi="仿宋" w:eastAsia="仿宋" w:cs="仿宋"/>
          <w:kern w:val="0"/>
          <w:sz w:val="24"/>
          <w:szCs w:val="24"/>
          <w:shd w:val="clear" w:color="auto" w:fill="FFFFFF"/>
          <w:lang w:val="en-US" w:eastAsia="zh-CN"/>
        </w:rPr>
        <w:t>历史</w:t>
      </w:r>
      <w:r>
        <w:rPr>
          <w:rFonts w:hint="eastAsia" w:cs="仿宋"/>
          <w:kern w:val="0"/>
          <w:sz w:val="24"/>
          <w:szCs w:val="24"/>
          <w:shd w:val="clear" w:color="auto" w:fill="FFFFFF"/>
          <w:lang w:val="en-US" w:eastAsia="zh-CN"/>
        </w:rPr>
        <w:t>查询</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cs="仿宋"/>
          <w:kern w:val="0"/>
          <w:sz w:val="24"/>
          <w:szCs w:val="24"/>
          <w:shd w:val="clear" w:color="auto" w:fill="FFFFFF"/>
          <w:lang w:val="en-US" w:eastAsia="zh-CN"/>
        </w:rPr>
      </w:pPr>
      <w:r>
        <w:rPr>
          <w:rFonts w:hint="eastAsia" w:cs="仿宋"/>
          <w:kern w:val="0"/>
          <w:sz w:val="24"/>
          <w:szCs w:val="24"/>
          <w:shd w:val="clear" w:color="auto" w:fill="FFFFFF"/>
          <w:lang w:val="en-US" w:eastAsia="zh-CN"/>
        </w:rPr>
        <w:t>可对发生过的事件、工单、设备状态等进行追溯。</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rPr>
      </w:pPr>
      <w:r>
        <w:rPr>
          <w:rFonts w:hint="eastAsia" w:ascii="宋体" w:hAnsi="宋体" w:eastAsia="宋体" w:cs="宋体"/>
          <w:b/>
          <w:bCs/>
          <w:color w:val="333333"/>
          <w:kern w:val="0"/>
          <w:sz w:val="24"/>
          <w:szCs w:val="24"/>
          <w:shd w:val="clear" w:color="auto" w:fill="FFFFFF"/>
          <w:lang w:val="en-US"/>
        </w:rPr>
        <w:t>③</w:t>
      </w:r>
      <w:r>
        <w:rPr>
          <w:rFonts w:hint="eastAsia" w:ascii="仿宋" w:hAnsi="仿宋" w:eastAsia="仿宋" w:cs="仿宋"/>
          <w:kern w:val="0"/>
          <w:sz w:val="24"/>
          <w:szCs w:val="24"/>
          <w:shd w:val="clear" w:color="auto" w:fill="FFFFFF"/>
          <w:lang w:val="en-US" w:eastAsia="zh-CN"/>
        </w:rPr>
        <w:t>设备管理模块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rPr>
      </w:pPr>
      <w:r>
        <w:rPr>
          <w:rFonts w:hint="eastAsia" w:cs="仿宋"/>
          <w:kern w:val="0"/>
          <w:sz w:val="24"/>
          <w:szCs w:val="24"/>
          <w:shd w:val="clear" w:color="auto" w:fill="FFFFFF"/>
          <w:lang w:val="en-US" w:eastAsia="zh-CN"/>
        </w:rPr>
        <w:t>可以添加不同的设备，对设备的所有参数进行命名，数据比例设定等。</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rPr>
      </w:pPr>
      <w:r>
        <w:rPr>
          <w:rFonts w:hint="eastAsia" w:ascii="宋体" w:hAnsi="宋体" w:eastAsia="宋体" w:cs="宋体"/>
          <w:b/>
          <w:bCs/>
          <w:color w:val="333333"/>
          <w:kern w:val="0"/>
          <w:sz w:val="24"/>
          <w:szCs w:val="24"/>
          <w:shd w:val="clear" w:color="auto" w:fill="FFFFFF"/>
          <w:lang w:val="en-US"/>
        </w:rPr>
        <w:t>④</w:t>
      </w:r>
      <w:r>
        <w:rPr>
          <w:rFonts w:hint="eastAsia" w:ascii="仿宋" w:hAnsi="仿宋" w:eastAsia="仿宋" w:cs="仿宋"/>
          <w:kern w:val="0"/>
          <w:sz w:val="24"/>
          <w:szCs w:val="24"/>
          <w:shd w:val="clear" w:color="auto" w:fill="FFFFFF"/>
        </w:rPr>
        <w:t>数据</w:t>
      </w:r>
      <w:r>
        <w:rPr>
          <w:rFonts w:hint="eastAsia" w:cs="仿宋"/>
          <w:kern w:val="0"/>
          <w:sz w:val="24"/>
          <w:szCs w:val="24"/>
          <w:shd w:val="clear" w:color="auto" w:fill="FFFFFF"/>
          <w:lang w:val="en-US" w:eastAsia="zh-CN"/>
        </w:rPr>
        <w:t>分析</w:t>
      </w:r>
      <w:r>
        <w:rPr>
          <w:rFonts w:hint="eastAsia" w:ascii="仿宋" w:hAnsi="仿宋" w:eastAsia="仿宋" w:cs="仿宋"/>
          <w:kern w:val="0"/>
          <w:sz w:val="24"/>
          <w:szCs w:val="24"/>
          <w:shd w:val="clear" w:color="auto" w:fill="FFFFFF"/>
        </w:rPr>
        <w:t>模块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数据处理模块是一种易于操作的工具，用于对测量值进行定制评估。它监视对</w:t>
      </w:r>
      <w:r>
        <w:rPr>
          <w:rFonts w:hint="eastAsia" w:cs="仿宋"/>
          <w:kern w:val="0"/>
          <w:sz w:val="24"/>
          <w:szCs w:val="24"/>
          <w:shd w:val="clear" w:color="auto" w:fill="FFFFFF"/>
          <w:lang w:val="en-US" w:eastAsia="zh-CN"/>
        </w:rPr>
        <w:t>设备运行</w:t>
      </w:r>
      <w:r>
        <w:rPr>
          <w:rFonts w:hint="eastAsia" w:ascii="仿宋" w:hAnsi="仿宋" w:eastAsia="仿宋" w:cs="仿宋"/>
          <w:kern w:val="0"/>
          <w:sz w:val="24"/>
          <w:szCs w:val="24"/>
          <w:shd w:val="clear" w:color="auto" w:fill="FFFFFF"/>
        </w:rPr>
        <w:t>过程</w:t>
      </w:r>
      <w:r>
        <w:rPr>
          <w:rFonts w:hint="eastAsia" w:cs="仿宋"/>
          <w:kern w:val="0"/>
          <w:sz w:val="24"/>
          <w:szCs w:val="24"/>
          <w:shd w:val="clear" w:color="auto" w:fill="FFFFFF"/>
          <w:lang w:val="en-US" w:eastAsia="zh-CN"/>
        </w:rPr>
        <w:t>中</w:t>
      </w:r>
      <w:r>
        <w:rPr>
          <w:rFonts w:hint="eastAsia" w:ascii="仿宋" w:hAnsi="仿宋" w:eastAsia="仿宋" w:cs="仿宋"/>
          <w:kern w:val="0"/>
          <w:sz w:val="24"/>
          <w:szCs w:val="24"/>
          <w:shd w:val="clear" w:color="auto" w:fill="FFFFFF"/>
        </w:rPr>
        <w:t>指定的参数。</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kern w:val="0"/>
          <w:sz w:val="24"/>
          <w:szCs w:val="24"/>
          <w:shd w:val="clear" w:color="auto" w:fill="FFFFFF"/>
          <w:lang w:val="en-US" w:eastAsia="zh-CN"/>
        </w:rPr>
      </w:pPr>
      <w:r>
        <w:rPr>
          <w:rFonts w:hint="eastAsia" w:ascii="宋体" w:hAnsi="宋体" w:eastAsia="宋体" w:cs="宋体"/>
          <w:b/>
          <w:bCs/>
          <w:color w:val="333333"/>
          <w:kern w:val="0"/>
          <w:sz w:val="24"/>
          <w:szCs w:val="24"/>
          <w:shd w:val="clear" w:color="auto" w:fill="FFFFFF"/>
          <w:lang w:val="en-US" w:eastAsia="zh-CN"/>
        </w:rPr>
        <w:t>⑤</w:t>
      </w:r>
      <w:r>
        <w:rPr>
          <w:rFonts w:hint="eastAsia" w:cs="仿宋"/>
          <w:kern w:val="0"/>
          <w:sz w:val="24"/>
          <w:szCs w:val="24"/>
          <w:shd w:val="clear" w:color="auto" w:fill="FFFFFF"/>
          <w:lang w:val="en-US" w:eastAsia="zh-CN"/>
        </w:rPr>
        <w:t>工单模块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可</w:t>
      </w:r>
      <w:r>
        <w:rPr>
          <w:rFonts w:hint="eastAsia" w:cs="仿宋"/>
          <w:kern w:val="0"/>
          <w:sz w:val="24"/>
          <w:szCs w:val="24"/>
          <w:shd w:val="clear" w:color="auto" w:fill="FFFFFF"/>
          <w:lang w:val="en-US" w:eastAsia="zh-CN"/>
        </w:rPr>
        <w:t>监控</w:t>
      </w:r>
      <w:r>
        <w:rPr>
          <w:rFonts w:hint="eastAsia" w:ascii="仿宋" w:hAnsi="仿宋" w:eastAsia="仿宋" w:cs="仿宋"/>
          <w:kern w:val="0"/>
          <w:sz w:val="24"/>
          <w:szCs w:val="24"/>
          <w:shd w:val="clear" w:color="auto" w:fill="FFFFFF"/>
          <w:lang w:val="en-US" w:eastAsia="zh-CN"/>
        </w:rPr>
        <w:t>工单</w:t>
      </w:r>
      <w:r>
        <w:rPr>
          <w:rFonts w:hint="eastAsia" w:cs="仿宋"/>
          <w:kern w:val="0"/>
          <w:sz w:val="24"/>
          <w:szCs w:val="24"/>
          <w:shd w:val="clear" w:color="auto" w:fill="FFFFFF"/>
          <w:lang w:val="en-US" w:eastAsia="zh-CN"/>
        </w:rPr>
        <w:t>信息，包括未处理、进行中、已处理工单的具体信息。</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en-US" w:eastAsia="zh-CN"/>
        </w:rPr>
      </w:pPr>
      <w:r>
        <w:rPr>
          <w:rFonts w:hint="eastAsia" w:ascii="宋体" w:hAnsi="宋体" w:eastAsia="宋体" w:cs="宋体"/>
          <w:b/>
          <w:bCs/>
          <w:color w:val="333333"/>
          <w:kern w:val="0"/>
          <w:sz w:val="24"/>
          <w:szCs w:val="24"/>
          <w:shd w:val="clear" w:color="auto" w:fill="FFFFFF"/>
          <w:lang w:val="en-US" w:eastAsia="zh-CN"/>
        </w:rPr>
        <w:t>⑥</w:t>
      </w:r>
      <w:r>
        <w:rPr>
          <w:rFonts w:hint="eastAsia" w:ascii="仿宋" w:hAnsi="仿宋" w:eastAsia="仿宋" w:cs="仿宋"/>
          <w:kern w:val="0"/>
          <w:sz w:val="24"/>
          <w:szCs w:val="24"/>
          <w:shd w:val="clear" w:color="auto" w:fill="FFFFFF"/>
          <w:lang w:val="en-US" w:eastAsia="zh-CN"/>
        </w:rPr>
        <w:t>用户管理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cs="仿宋"/>
          <w:kern w:val="0"/>
          <w:sz w:val="24"/>
          <w:szCs w:val="24"/>
          <w:shd w:val="clear" w:color="auto" w:fill="FFFFFF"/>
          <w:lang w:val="en-US" w:eastAsia="zh-CN"/>
        </w:rPr>
        <w:t>可以</w:t>
      </w:r>
      <w:r>
        <w:rPr>
          <w:rFonts w:hint="eastAsia" w:ascii="仿宋" w:hAnsi="仿宋" w:eastAsia="仿宋" w:cs="仿宋"/>
          <w:kern w:val="0"/>
          <w:sz w:val="24"/>
          <w:szCs w:val="24"/>
          <w:shd w:val="clear" w:color="auto" w:fill="FFFFFF"/>
          <w:lang w:val="en-US" w:eastAsia="zh-CN"/>
        </w:rPr>
        <w:t>使用“身份管理”来管理用户，用户组，用户角色，权限等。</w:t>
      </w:r>
    </w:p>
    <w:p>
      <w:pPr>
        <w:keepNext w:val="0"/>
        <w:keepLines w:val="0"/>
        <w:pageBreakBefore w:val="0"/>
        <w:widowControl/>
        <w:numPr>
          <w:ilvl w:val="-1"/>
          <w:numId w:val="0"/>
        </w:numPr>
        <w:shd w:val="clear" w:color="auto" w:fill="FFFFFF"/>
        <w:tabs>
          <w:tab w:val="left" w:pos="0"/>
          <w:tab w:val="left" w:pos="420"/>
        </w:tabs>
        <w:kinsoku/>
        <w:wordWrap/>
        <w:overflowPunct/>
        <w:topLinePunct w:val="0"/>
        <w:bidi w:val="0"/>
        <w:snapToGrid/>
        <w:spacing w:line="360" w:lineRule="auto"/>
        <w:ind w:left="0" w:leftChars="0" w:firstLine="0" w:firstLineChars="0"/>
        <w:jc w:val="left"/>
        <w:outlineLvl w:val="3"/>
        <w:rPr>
          <w:rFonts w:hint="eastAsia" w:ascii="仿宋" w:hAnsi="仿宋" w:eastAsia="仿宋" w:cs="仿宋"/>
          <w:b/>
          <w:bCs/>
          <w:color w:val="333333"/>
          <w:kern w:val="0"/>
          <w:sz w:val="24"/>
          <w:szCs w:val="24"/>
          <w:shd w:val="clear" w:color="auto" w:fill="FFFFFF"/>
          <w:lang w:val="en-US" w:eastAsia="zh-CN"/>
        </w:rPr>
      </w:pPr>
      <w:bookmarkStart w:id="222" w:name="_Toc26266"/>
      <w:bookmarkStart w:id="223" w:name="_Toc16495"/>
      <w:bookmarkStart w:id="224" w:name="_Toc4611"/>
      <w:bookmarkStart w:id="225" w:name="_Toc13577"/>
      <w:bookmarkStart w:id="226" w:name="_Toc25178"/>
      <w:bookmarkStart w:id="227" w:name="_Toc14590"/>
      <w:r>
        <w:rPr>
          <w:rFonts w:hint="eastAsia" w:cs="仿宋"/>
          <w:b/>
          <w:bCs/>
          <w:color w:val="333333"/>
          <w:kern w:val="0"/>
          <w:sz w:val="24"/>
          <w:szCs w:val="24"/>
          <w:shd w:val="clear" w:color="auto" w:fill="FFFFFF"/>
          <w:lang w:val="en-US" w:eastAsia="zh-CN"/>
        </w:rPr>
        <w:t>（2）</w:t>
      </w:r>
      <w:r>
        <w:rPr>
          <w:rFonts w:hint="eastAsia" w:ascii="仿宋" w:hAnsi="仿宋" w:eastAsia="仿宋" w:cs="仿宋"/>
          <w:b/>
          <w:bCs/>
          <w:color w:val="333333"/>
          <w:kern w:val="0"/>
          <w:sz w:val="24"/>
          <w:szCs w:val="24"/>
          <w:shd w:val="clear" w:color="auto" w:fill="FFFFFF"/>
          <w:lang w:val="en-US" w:eastAsia="zh-CN"/>
        </w:rPr>
        <w:t>预测性维护专用网关</w:t>
      </w:r>
      <w:bookmarkEnd w:id="222"/>
      <w:bookmarkEnd w:id="223"/>
      <w:bookmarkEnd w:id="224"/>
      <w:bookmarkEnd w:id="225"/>
      <w:bookmarkEnd w:id="226"/>
      <w:bookmarkEnd w:id="22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该网关由远程IO模块、物联网关、边缘网关和总线模块组成。</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en-US" w:eastAsia="zh-CN"/>
        </w:rPr>
      </w:pPr>
      <w:r>
        <w:rPr>
          <w:rFonts w:hint="eastAsia" w:ascii="宋体" w:hAnsi="宋体" w:eastAsia="宋体" w:cs="宋体"/>
          <w:b/>
          <w:bCs/>
          <w:color w:val="333333"/>
          <w:kern w:val="0"/>
          <w:sz w:val="24"/>
          <w:szCs w:val="24"/>
          <w:shd w:val="clear" w:color="auto" w:fill="FFFFFF"/>
          <w:lang w:val="en-US" w:eastAsia="zh-CN"/>
        </w:rPr>
        <w:t>①</w:t>
      </w:r>
      <w:r>
        <w:rPr>
          <w:rFonts w:hint="eastAsia" w:ascii="仿宋" w:hAnsi="仿宋" w:eastAsia="仿宋" w:cs="仿宋"/>
          <w:kern w:val="0"/>
          <w:sz w:val="24"/>
          <w:szCs w:val="24"/>
          <w:shd w:val="clear" w:color="auto" w:fill="FFFFFF"/>
          <w:lang w:val="en-US" w:eastAsia="zh-CN"/>
        </w:rPr>
        <w:t>远程IO模块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该模块用于传感器对象模块和执行器的连接，该远程I/O模块不仅有通用的标准化接口，而且规格精分，包含数字量、模拟量的信号输入和输出，模块可实时从软件进行位置检测、压力测试、对比伺服阀控制等。可实时监测实训装置的传感器模块及执行单元的数据。</w:t>
      </w:r>
    </w:p>
    <w:p>
      <w:pPr>
        <w:keepNext w:val="0"/>
        <w:keepLines w:val="0"/>
        <w:pageBreakBefore w:val="0"/>
        <w:widowControl/>
        <w:numPr>
          <w:ilvl w:val="-1"/>
          <w:numId w:val="0"/>
        </w:numPr>
        <w:shd w:val="clear" w:color="auto" w:fill="FFFFFF"/>
        <w:tabs>
          <w:tab w:val="left" w:pos="0"/>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shd w:val="clear" w:color="auto" w:fill="FFFFFF"/>
          <w:lang w:val="en-US" w:eastAsia="zh-CN"/>
        </w:rPr>
      </w:pPr>
      <w:r>
        <w:rPr>
          <w:rFonts w:hint="eastAsia" w:ascii="宋体" w:hAnsi="宋体" w:eastAsia="宋体" w:cs="宋体"/>
          <w:b/>
          <w:bCs/>
          <w:color w:val="333333"/>
          <w:kern w:val="0"/>
          <w:sz w:val="24"/>
          <w:szCs w:val="24"/>
          <w:shd w:val="clear" w:color="auto" w:fill="FFFFFF"/>
          <w:lang w:val="en-US" w:eastAsia="zh-CN"/>
        </w:rPr>
        <w:t>②</w:t>
      </w:r>
      <w:r>
        <w:rPr>
          <w:rFonts w:hint="eastAsia" w:ascii="仿宋" w:hAnsi="仿宋" w:eastAsia="仿宋" w:cs="仿宋"/>
          <w:kern w:val="0"/>
          <w:sz w:val="24"/>
          <w:szCs w:val="24"/>
          <w:shd w:val="clear" w:color="auto" w:fill="FFFFFF"/>
          <w:lang w:val="en-US" w:eastAsia="zh-CN"/>
        </w:rPr>
        <w:t>物联网网关</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该网关</w:t>
      </w:r>
      <w:r>
        <w:rPr>
          <w:rFonts w:hint="eastAsia" w:cs="仿宋"/>
          <w:kern w:val="0"/>
          <w:sz w:val="24"/>
          <w:szCs w:val="24"/>
          <w:shd w:val="clear" w:color="auto" w:fill="FFFFFF"/>
          <w:lang w:val="en-US" w:eastAsia="zh-CN"/>
        </w:rPr>
        <w:t>包含</w:t>
      </w:r>
      <w:r>
        <w:rPr>
          <w:rFonts w:hint="eastAsia" w:ascii="仿宋" w:hAnsi="仿宋" w:eastAsia="仿宋" w:cs="仿宋"/>
          <w:kern w:val="0"/>
          <w:sz w:val="24"/>
          <w:szCs w:val="24"/>
          <w:shd w:val="clear" w:color="auto" w:fill="FFFFFF"/>
          <w:lang w:val="en-US" w:eastAsia="zh-CN"/>
        </w:rPr>
        <w:t>有</w:t>
      </w:r>
      <w:r>
        <w:rPr>
          <w:rFonts w:hint="eastAsia" w:cs="仿宋"/>
          <w:kern w:val="0"/>
          <w:sz w:val="24"/>
          <w:szCs w:val="24"/>
          <w:shd w:val="clear" w:color="auto" w:fill="FFFFFF"/>
          <w:lang w:val="en-US" w:eastAsia="zh-CN"/>
        </w:rPr>
        <w:t>LAN1</w:t>
      </w:r>
      <w:r>
        <w:rPr>
          <w:rFonts w:hint="eastAsia" w:ascii="仿宋" w:hAnsi="仿宋" w:eastAsia="仿宋" w:cs="仿宋"/>
          <w:kern w:val="0"/>
          <w:sz w:val="24"/>
          <w:szCs w:val="24"/>
          <w:shd w:val="clear" w:color="auto" w:fill="FFFFFF"/>
          <w:lang w:val="en-US" w:eastAsia="zh-CN"/>
        </w:rPr>
        <w:t>和</w:t>
      </w:r>
      <w:r>
        <w:rPr>
          <w:rFonts w:hint="eastAsia" w:cs="仿宋"/>
          <w:kern w:val="0"/>
          <w:sz w:val="24"/>
          <w:szCs w:val="24"/>
          <w:shd w:val="clear" w:color="auto" w:fill="FFFFFF"/>
          <w:lang w:val="en-US" w:eastAsia="zh-CN"/>
        </w:rPr>
        <w:t>LAN2</w:t>
      </w:r>
      <w:r>
        <w:rPr>
          <w:rFonts w:hint="eastAsia" w:ascii="仿宋" w:hAnsi="仿宋" w:eastAsia="仿宋" w:cs="仿宋"/>
          <w:kern w:val="0"/>
          <w:sz w:val="24"/>
          <w:szCs w:val="24"/>
          <w:shd w:val="clear" w:color="auto" w:fill="FFFFFF"/>
          <w:lang w:val="en-US" w:eastAsia="zh-CN"/>
        </w:rPr>
        <w:t>两个网口，</w:t>
      </w:r>
      <w:r>
        <w:rPr>
          <w:rFonts w:hint="eastAsia" w:cs="仿宋"/>
          <w:kern w:val="0"/>
          <w:sz w:val="24"/>
          <w:szCs w:val="24"/>
          <w:shd w:val="clear" w:color="auto" w:fill="FFFFFF"/>
          <w:lang w:val="en-US" w:eastAsia="zh-CN"/>
        </w:rPr>
        <w:t>自带WiFi模组</w:t>
      </w:r>
      <w:r>
        <w:rPr>
          <w:rFonts w:hint="eastAsia" w:ascii="仿宋" w:hAnsi="仿宋" w:eastAsia="仿宋" w:cs="仿宋"/>
          <w:kern w:val="0"/>
          <w:sz w:val="24"/>
          <w:szCs w:val="24"/>
          <w:shd w:val="clear" w:color="auto" w:fill="FFFFFF"/>
          <w:lang w:val="en-US" w:eastAsia="zh-CN"/>
        </w:rPr>
        <w:t>,</w:t>
      </w:r>
      <w:r>
        <w:rPr>
          <w:rFonts w:hint="eastAsia" w:cs="仿宋"/>
          <w:kern w:val="0"/>
          <w:sz w:val="24"/>
          <w:szCs w:val="24"/>
          <w:shd w:val="clear" w:color="auto" w:fill="FFFFFF"/>
          <w:lang w:val="en-US" w:eastAsia="zh-CN"/>
        </w:rPr>
        <w:t>串口</w:t>
      </w:r>
      <w:r>
        <w:rPr>
          <w:rFonts w:hint="eastAsia" w:ascii="仿宋" w:hAnsi="仿宋" w:eastAsia="仿宋" w:cs="仿宋"/>
          <w:kern w:val="0"/>
          <w:sz w:val="24"/>
          <w:szCs w:val="24"/>
          <w:shd w:val="clear" w:color="auto" w:fill="FFFFFF"/>
          <w:lang w:val="en-US" w:eastAsia="zh-CN"/>
        </w:rPr>
        <w:t>，24V电源接线。</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100" w:after="100" w:line="360" w:lineRule="auto"/>
        <w:ind w:left="0" w:leftChars="0" w:firstLine="0" w:firstLineChars="0"/>
        <w:jc w:val="left"/>
        <w:textAlignment w:val="auto"/>
        <w:outlineLvl w:val="2"/>
        <w:rPr>
          <w:rFonts w:hint="eastAsia" w:ascii="仿宋" w:hAnsi="仿宋" w:eastAsia="仿宋" w:cs="仿宋"/>
          <w:b/>
          <w:bCs/>
          <w:color w:val="333333"/>
          <w:kern w:val="0"/>
          <w:sz w:val="24"/>
          <w:szCs w:val="24"/>
          <w:shd w:val="clear" w:color="auto" w:fill="FFFFFF"/>
          <w:lang w:val="en-US" w:eastAsia="zh-CN"/>
        </w:rPr>
      </w:pPr>
      <w:bookmarkStart w:id="228" w:name="_Toc5006"/>
      <w:bookmarkStart w:id="229" w:name="_Toc22757"/>
      <w:bookmarkStart w:id="230" w:name="_Toc18508"/>
      <w:r>
        <w:rPr>
          <w:rFonts w:hint="eastAsia" w:cs="仿宋"/>
          <w:b/>
          <w:bCs/>
          <w:color w:val="333333"/>
          <w:kern w:val="0"/>
          <w:sz w:val="24"/>
          <w:szCs w:val="24"/>
          <w:shd w:val="clear" w:color="auto" w:fill="FFFFFF"/>
          <w:lang w:val="en-US" w:eastAsia="zh-CN"/>
        </w:rPr>
        <w:t>8、</w:t>
      </w:r>
      <w:r>
        <w:rPr>
          <w:rFonts w:hint="eastAsia" w:ascii="仿宋" w:hAnsi="仿宋" w:eastAsia="仿宋" w:cs="仿宋"/>
          <w:b/>
          <w:bCs/>
          <w:color w:val="333333"/>
          <w:kern w:val="0"/>
          <w:sz w:val="24"/>
          <w:szCs w:val="24"/>
          <w:shd w:val="clear" w:color="auto" w:fill="FFFFFF"/>
          <w:lang w:val="en-US" w:eastAsia="zh-CN"/>
        </w:rPr>
        <w:t>可调节电脑台</w:t>
      </w:r>
      <w:bookmarkEnd w:id="228"/>
      <w:bookmarkEnd w:id="229"/>
      <w:bookmarkEnd w:id="230"/>
      <w:r>
        <w:rPr>
          <w:rFonts w:hint="eastAsia" w:ascii="仿宋" w:hAnsi="仿宋" w:eastAsia="仿宋" w:cs="仿宋"/>
          <w:b/>
          <w:bCs/>
          <w:color w:val="333333"/>
          <w:kern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eastAsia="zh-CN"/>
        </w:rPr>
        <w:t xml:space="preserve">整体采用高密度不变色8mm工业级铝型材组合而成。桌面为防火、防水、耐磨的高密度板，整体结构坚固、造型美观大方，电脑台含铝制底板（放置主机箱）、底板下方有四个万向轮，可随意推动，显示器可用支架固定在其铝型材主体支架上，可根据个人的身高调节高度。 </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100" w:after="100" w:line="360" w:lineRule="auto"/>
        <w:ind w:left="0" w:leftChars="0" w:firstLine="0" w:firstLineChars="0"/>
        <w:jc w:val="left"/>
        <w:textAlignment w:val="auto"/>
        <w:outlineLvl w:val="2"/>
        <w:rPr>
          <w:rFonts w:hint="eastAsia" w:ascii="仿宋" w:hAnsi="仿宋" w:eastAsia="仿宋" w:cs="仿宋"/>
          <w:b/>
          <w:bCs/>
          <w:color w:val="333333"/>
          <w:kern w:val="0"/>
          <w:sz w:val="24"/>
          <w:szCs w:val="24"/>
          <w:shd w:val="clear" w:color="auto" w:fill="FFFFFF"/>
          <w:lang w:val="en-US" w:eastAsia="zh-CN"/>
        </w:rPr>
      </w:pPr>
      <w:bookmarkStart w:id="231" w:name="_Toc9203"/>
      <w:bookmarkStart w:id="232" w:name="_Toc22065"/>
      <w:bookmarkStart w:id="233" w:name="_Toc5925"/>
      <w:bookmarkStart w:id="234" w:name="_Toc28559"/>
      <w:bookmarkStart w:id="235" w:name="_Toc15888"/>
      <w:bookmarkStart w:id="236" w:name="_Toc25443"/>
      <w:bookmarkStart w:id="237" w:name="_Toc29456"/>
      <w:bookmarkStart w:id="238" w:name="_Toc22988"/>
      <w:bookmarkStart w:id="239" w:name="_Toc9252"/>
      <w:bookmarkStart w:id="240" w:name="_Toc6454"/>
      <w:bookmarkStart w:id="241" w:name="_Toc9121"/>
      <w:bookmarkStart w:id="242" w:name="_Toc20206"/>
      <w:r>
        <w:rPr>
          <w:rFonts w:hint="eastAsia" w:cs="仿宋"/>
          <w:b/>
          <w:bCs/>
          <w:color w:val="333333"/>
          <w:kern w:val="0"/>
          <w:sz w:val="24"/>
          <w:szCs w:val="24"/>
          <w:shd w:val="clear" w:color="auto" w:fill="FFFFFF"/>
          <w:lang w:val="en-US" w:eastAsia="zh-CN"/>
        </w:rPr>
        <w:t>9、</w:t>
      </w:r>
      <w:r>
        <w:rPr>
          <w:rFonts w:hint="eastAsia" w:ascii="仿宋" w:hAnsi="仿宋" w:eastAsia="仿宋" w:cs="仿宋"/>
          <w:b/>
          <w:bCs/>
          <w:color w:val="333333"/>
          <w:kern w:val="0"/>
          <w:sz w:val="24"/>
          <w:szCs w:val="24"/>
          <w:shd w:val="clear" w:color="auto" w:fill="FFFFFF"/>
          <w:lang w:val="en-US" w:eastAsia="zh-CN"/>
        </w:rPr>
        <w:t>教学资源包</w:t>
      </w:r>
      <w:bookmarkEnd w:id="231"/>
      <w:bookmarkEnd w:id="232"/>
      <w:bookmarkEnd w:id="233"/>
      <w:bookmarkEnd w:id="234"/>
      <w:bookmarkEnd w:id="235"/>
      <w:bookmarkEnd w:id="236"/>
      <w:bookmarkEnd w:id="237"/>
      <w:bookmarkEnd w:id="238"/>
      <w:bookmarkEnd w:id="239"/>
      <w:bookmarkEnd w:id="240"/>
      <w:bookmarkEnd w:id="241"/>
      <w:bookmarkEnd w:id="24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de-DE" w:eastAsia="zh-CN"/>
        </w:rPr>
        <w:t>配备符合工业互联网预测性维护等级证书的试题库及数字化教学资源，其内容满足工业互联网预测性维护标准，涵盖初中高级实操、理论等内容。</w:t>
      </w:r>
    </w:p>
    <w:p>
      <w:pPr>
        <w:pStyle w:val="2"/>
        <w:ind w:left="0" w:firstLine="0" w:firstLineChars="0"/>
        <w:rPr>
          <w:lang w:val="en-US"/>
        </w:rPr>
      </w:pPr>
    </w:p>
    <w:p>
      <w:pPr>
        <w:pStyle w:val="2"/>
        <w:ind w:left="0" w:firstLine="0" w:firstLineChars="0"/>
        <w:jc w:val="center"/>
        <w:rPr>
          <w:lang w:val="en-US"/>
        </w:rPr>
      </w:pPr>
      <w:r>
        <w:rPr>
          <w:rFonts w:hint="eastAsia"/>
          <w:lang w:val="en-US"/>
        </w:rPr>
        <w:t>表3</w:t>
      </w:r>
      <w:r>
        <w:rPr>
          <w:lang w:val="en-US"/>
        </w:rPr>
        <w:t xml:space="preserve">  </w:t>
      </w:r>
      <w:r>
        <w:rPr>
          <w:rFonts w:hint="eastAsia"/>
          <w:lang w:val="en-US"/>
        </w:rPr>
        <w:t>赛项产品配置</w:t>
      </w:r>
    </w:p>
    <w:p>
      <w:pPr>
        <w:pStyle w:val="2"/>
        <w:ind w:left="0" w:firstLine="0" w:firstLineChars="0"/>
        <w:rPr>
          <w:lang w:val="en-US"/>
        </w:rPr>
      </w:pPr>
    </w:p>
    <w:tbl>
      <w:tblPr>
        <w:tblStyle w:val="12"/>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245"/>
        <w:gridCol w:w="127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360" w:lineRule="auto"/>
              <w:jc w:val="center"/>
              <w:rPr>
                <w:rFonts w:ascii="宋体" w:hAnsi="宋体" w:eastAsia="宋体" w:cs="宋体"/>
                <w:szCs w:val="21"/>
              </w:rPr>
            </w:pPr>
            <w:bookmarkStart w:id="243" w:name="_Toc18"/>
            <w:bookmarkStart w:id="244" w:name="_Toc25538"/>
            <w:bookmarkStart w:id="245" w:name="_Toc19639"/>
            <w:bookmarkStart w:id="246" w:name="_Toc7966"/>
            <w:bookmarkStart w:id="247" w:name="_Toc7308"/>
            <w:bookmarkStart w:id="248" w:name="_Toc1633"/>
            <w:bookmarkStart w:id="249" w:name="_Toc21601"/>
            <w:bookmarkStart w:id="250" w:name="_Toc608"/>
            <w:bookmarkStart w:id="251" w:name="_Toc22392"/>
            <w:bookmarkStart w:id="252" w:name="_Toc16994"/>
            <w:bookmarkStart w:id="253" w:name="_Toc1445"/>
            <w:bookmarkStart w:id="254" w:name="_Toc16964"/>
            <w:bookmarkStart w:id="255" w:name="_Toc2757"/>
            <w:bookmarkStart w:id="256" w:name="_Toc6550"/>
            <w:bookmarkStart w:id="257" w:name="_Toc30445"/>
            <w:bookmarkStart w:id="258" w:name="_Toc99"/>
            <w:bookmarkStart w:id="259" w:name="_Toc4626"/>
            <w:r>
              <w:rPr>
                <w:rFonts w:hint="eastAsia" w:ascii="宋体" w:hAnsi="宋体" w:eastAsia="宋体" w:cs="宋体"/>
                <w:szCs w:val="21"/>
              </w:rPr>
              <w:t>序号</w:t>
            </w:r>
          </w:p>
        </w:tc>
        <w:tc>
          <w:tcPr>
            <w:tcW w:w="524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27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93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1</w:t>
            </w:r>
          </w:p>
        </w:tc>
        <w:tc>
          <w:tcPr>
            <w:tcW w:w="5245" w:type="dxa"/>
            <w:vAlign w:val="center"/>
          </w:tcPr>
          <w:p>
            <w:pPr>
              <w:spacing w:line="360" w:lineRule="auto"/>
              <w:jc w:val="center"/>
              <w:rPr>
                <w:rFonts w:ascii="宋体" w:hAnsi="宋体" w:eastAsia="宋体" w:cs="宋体"/>
                <w:sz w:val="21"/>
                <w:szCs w:val="21"/>
                <w:shd w:val="clear" w:color="auto" w:fill="FFFFFF"/>
                <w:lang w:val="en-US"/>
              </w:rPr>
            </w:pPr>
            <w:r>
              <w:rPr>
                <w:rFonts w:hint="eastAsia" w:ascii="仿宋" w:hAnsi="仿宋" w:eastAsia="仿宋" w:cs="仿宋"/>
                <w:sz w:val="22"/>
                <w:szCs w:val="22"/>
                <w:shd w:val="clear" w:color="auto" w:fill="auto"/>
                <w:lang w:val="en-US"/>
              </w:rPr>
              <w:t>实训考核平台</w:t>
            </w:r>
          </w:p>
        </w:tc>
        <w:tc>
          <w:tcPr>
            <w:tcW w:w="1276" w:type="dxa"/>
            <w:vAlign w:val="center"/>
          </w:tcPr>
          <w:p>
            <w:pPr>
              <w:spacing w:line="360" w:lineRule="auto"/>
              <w:jc w:val="center"/>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1</w:t>
            </w:r>
          </w:p>
        </w:tc>
        <w:tc>
          <w:tcPr>
            <w:tcW w:w="933" w:type="dxa"/>
            <w:vAlign w:val="center"/>
          </w:tcPr>
          <w:p>
            <w:pPr>
              <w:spacing w:line="360" w:lineRule="auto"/>
              <w:jc w:val="center"/>
              <w:rPr>
                <w:rFonts w:ascii="宋体" w:hAnsi="宋体" w:eastAsia="宋体" w:cs="宋体"/>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2</w:t>
            </w:r>
          </w:p>
        </w:tc>
        <w:tc>
          <w:tcPr>
            <w:tcW w:w="5245" w:type="dxa"/>
            <w:vAlign w:val="center"/>
          </w:tcPr>
          <w:p>
            <w:pPr>
              <w:spacing w:line="360" w:lineRule="auto"/>
              <w:jc w:val="center"/>
              <w:rPr>
                <w:rFonts w:ascii="宋体" w:hAnsi="宋体" w:eastAsia="宋体" w:cs="宋体"/>
                <w:sz w:val="21"/>
                <w:szCs w:val="21"/>
                <w:shd w:val="clear" w:color="auto" w:fill="FFFFFF"/>
                <w:lang w:val="en-US"/>
              </w:rPr>
            </w:pPr>
            <w:r>
              <w:rPr>
                <w:rFonts w:hint="eastAsia"/>
              </w:rPr>
              <w:t>转速对象</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3</w:t>
            </w:r>
          </w:p>
        </w:tc>
        <w:tc>
          <w:tcPr>
            <w:tcW w:w="5245" w:type="dxa"/>
            <w:vAlign w:val="center"/>
          </w:tcPr>
          <w:p>
            <w:pPr>
              <w:spacing w:line="360" w:lineRule="auto"/>
              <w:jc w:val="center"/>
              <w:rPr>
                <w:rFonts w:ascii="宋体" w:hAnsi="宋体" w:eastAsia="宋体" w:cs="宋体"/>
                <w:sz w:val="21"/>
                <w:szCs w:val="21"/>
                <w:shd w:val="clear" w:color="auto" w:fill="FFFFFF"/>
                <w:lang w:val="en-US"/>
              </w:rPr>
            </w:pPr>
            <w:r>
              <w:rPr>
                <w:rFonts w:hint="eastAsia"/>
              </w:rPr>
              <w:t>光电对象</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4</w:t>
            </w:r>
          </w:p>
        </w:tc>
        <w:tc>
          <w:tcPr>
            <w:tcW w:w="5245" w:type="dxa"/>
            <w:vAlign w:val="center"/>
          </w:tcPr>
          <w:p>
            <w:pPr>
              <w:spacing w:line="360" w:lineRule="auto"/>
              <w:jc w:val="center"/>
              <w:rPr>
                <w:rFonts w:ascii="宋体" w:hAnsi="宋体" w:eastAsia="宋体" w:cs="宋体"/>
                <w:sz w:val="21"/>
                <w:szCs w:val="21"/>
                <w:shd w:val="clear" w:color="auto" w:fill="FFFFFF"/>
                <w:lang w:val="en-US"/>
              </w:rPr>
            </w:pPr>
            <w:r>
              <w:rPr>
                <w:rFonts w:hint="eastAsia"/>
              </w:rPr>
              <w:t>湿度对象</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5</w:t>
            </w:r>
          </w:p>
        </w:tc>
        <w:tc>
          <w:tcPr>
            <w:tcW w:w="5245" w:type="dxa"/>
            <w:vAlign w:val="center"/>
          </w:tcPr>
          <w:p>
            <w:pPr>
              <w:spacing w:line="360" w:lineRule="auto"/>
              <w:jc w:val="center"/>
              <w:rPr>
                <w:rFonts w:ascii="宋体" w:hAnsi="宋体" w:eastAsia="宋体" w:cs="宋体"/>
                <w:sz w:val="21"/>
                <w:szCs w:val="21"/>
                <w:shd w:val="clear" w:color="auto" w:fill="FFFFFF"/>
                <w:lang w:val="en-US"/>
              </w:rPr>
            </w:pPr>
            <w:r>
              <w:rPr>
                <w:rFonts w:hint="eastAsia"/>
              </w:rPr>
              <w:t>震动对象</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6</w:t>
            </w:r>
          </w:p>
        </w:tc>
        <w:tc>
          <w:tcPr>
            <w:tcW w:w="5245" w:type="dxa"/>
            <w:vAlign w:val="center"/>
          </w:tcPr>
          <w:p>
            <w:pPr>
              <w:spacing w:line="360" w:lineRule="auto"/>
              <w:jc w:val="center"/>
            </w:pPr>
            <w:r>
              <w:rPr>
                <w:rFonts w:hint="eastAsia"/>
              </w:rPr>
              <w:t>温度对象</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7</w:t>
            </w:r>
          </w:p>
        </w:tc>
        <w:tc>
          <w:tcPr>
            <w:tcW w:w="5245" w:type="dxa"/>
            <w:vAlign w:val="center"/>
          </w:tcPr>
          <w:p>
            <w:pPr>
              <w:spacing w:line="360" w:lineRule="auto"/>
              <w:jc w:val="center"/>
              <w:rPr>
                <w:rFonts w:ascii="Calibri" w:hAnsi="Calibri" w:eastAsia="宋体" w:cs="Times New Roman"/>
                <w:kern w:val="2"/>
                <w:sz w:val="21"/>
                <w:szCs w:val="24"/>
                <w:lang w:val="en-US" w:bidi="ar-SA"/>
              </w:rPr>
            </w:pPr>
            <w:r>
              <w:rPr>
                <w:rFonts w:hint="eastAsia"/>
                <w:lang w:val="en-US" w:eastAsia="zh-CN"/>
              </w:rPr>
              <w:t>桌面级自动化产线</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7"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8</w:t>
            </w:r>
          </w:p>
        </w:tc>
        <w:tc>
          <w:tcPr>
            <w:tcW w:w="5245" w:type="dxa"/>
            <w:vAlign w:val="center"/>
          </w:tcPr>
          <w:p>
            <w:pPr>
              <w:spacing w:line="360" w:lineRule="auto"/>
              <w:jc w:val="center"/>
              <w:rPr>
                <w:lang w:val="en-US"/>
              </w:rPr>
            </w:pPr>
            <w:r>
              <w:rPr>
                <w:rFonts w:hint="eastAsia"/>
                <w:lang w:val="en-US" w:eastAsia="zh-CN"/>
              </w:rPr>
              <w:t>可调节电脑台</w:t>
            </w:r>
          </w:p>
        </w:tc>
        <w:tc>
          <w:tcPr>
            <w:tcW w:w="1276" w:type="dxa"/>
            <w:vAlign w:val="center"/>
          </w:tcPr>
          <w:p>
            <w:pPr>
              <w:spacing w:line="360" w:lineRule="auto"/>
              <w:jc w:val="center"/>
              <w:rPr>
                <w:rFonts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rPr>
              <w:t>1</w:t>
            </w:r>
          </w:p>
        </w:tc>
        <w:tc>
          <w:tcPr>
            <w:tcW w:w="933" w:type="dxa"/>
            <w:vAlign w:val="center"/>
          </w:tcPr>
          <w:p>
            <w:pPr>
              <w:spacing w:line="360" w:lineRule="auto"/>
              <w:jc w:val="center"/>
              <w:rPr>
                <w:rFonts w:ascii="宋体" w:hAnsi="宋体" w:eastAsia="宋体" w:cs="宋体"/>
                <w:sz w:val="21"/>
                <w:szCs w:val="21"/>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Borders>
              <w:bottom w:val="single" w:color="auto" w:sz="4" w:space="0"/>
            </w:tcBorders>
            <w:vAlign w:val="center"/>
          </w:tcPr>
          <w:p>
            <w:pPr>
              <w:jc w:val="center"/>
              <w:rPr>
                <w:rFonts w:ascii="Calibri" w:hAnsi="Calibri" w:eastAsia="宋体" w:cs="宋体"/>
                <w:kern w:val="2"/>
                <w:sz w:val="21"/>
                <w:szCs w:val="24"/>
                <w:lang w:val="en-US" w:bidi="ar-SA"/>
              </w:rPr>
            </w:pPr>
            <w:r>
              <w:rPr>
                <w:rFonts w:hint="eastAsia" w:eastAsia="宋体"/>
                <w:lang w:val="en-US"/>
              </w:rPr>
              <w:t>9</w:t>
            </w:r>
          </w:p>
        </w:tc>
        <w:tc>
          <w:tcPr>
            <w:tcW w:w="5245" w:type="dxa"/>
            <w:tcBorders>
              <w:bottom w:val="single" w:color="auto" w:sz="4" w:space="0"/>
            </w:tcBorders>
            <w:vAlign w:val="center"/>
          </w:tcPr>
          <w:p>
            <w:pPr>
              <w:jc w:val="center"/>
              <w:rPr>
                <w:rFonts w:ascii="Calibri" w:hAnsi="Calibri" w:eastAsia="宋体" w:cs="宋体"/>
                <w:kern w:val="2"/>
                <w:sz w:val="21"/>
                <w:szCs w:val="24"/>
                <w:lang w:val="en-US" w:bidi="ar-SA"/>
              </w:rPr>
            </w:pPr>
            <w:r>
              <w:rPr>
                <w:rFonts w:hint="eastAsia" w:ascii="仿宋" w:hAnsi="仿宋" w:eastAsia="仿宋" w:cs="仿宋"/>
                <w:kern w:val="0"/>
                <w:sz w:val="22"/>
                <w:szCs w:val="22"/>
                <w:lang w:val="en-US" w:eastAsia="zh-CN" w:bidi="ar-SA"/>
              </w:rPr>
              <w:t>幻联工业互联网预测性维护平台</w:t>
            </w:r>
          </w:p>
        </w:tc>
        <w:tc>
          <w:tcPr>
            <w:tcW w:w="1276" w:type="dxa"/>
            <w:tcBorders>
              <w:bottom w:val="single" w:color="auto" w:sz="4" w:space="0"/>
            </w:tcBorders>
            <w:vAlign w:val="center"/>
          </w:tcPr>
          <w:p>
            <w:pPr>
              <w:spacing w:line="360" w:lineRule="auto"/>
              <w:jc w:val="center"/>
              <w:rPr>
                <w:rFonts w:ascii="宋体" w:hAnsi="宋体" w:eastAsia="宋体" w:cs="宋体"/>
                <w:sz w:val="21"/>
                <w:szCs w:val="21"/>
                <w:lang w:val="en-US" w:bidi="ar-SA"/>
              </w:rPr>
            </w:pPr>
            <w:r>
              <w:rPr>
                <w:rFonts w:hint="eastAsia" w:ascii="宋体" w:hAnsi="宋体" w:eastAsia="宋体" w:cs="宋体"/>
                <w:szCs w:val="21"/>
              </w:rPr>
              <w:t>1</w:t>
            </w:r>
          </w:p>
        </w:tc>
        <w:tc>
          <w:tcPr>
            <w:tcW w:w="933" w:type="dxa"/>
            <w:tcBorders>
              <w:bottom w:val="single" w:color="auto" w:sz="4" w:space="0"/>
            </w:tcBorders>
            <w:vAlign w:val="center"/>
          </w:tcPr>
          <w:p>
            <w:pPr>
              <w:spacing w:line="360" w:lineRule="auto"/>
              <w:jc w:val="both"/>
              <w:rPr>
                <w:rFonts w:ascii="宋体" w:hAnsi="宋体" w:eastAsia="宋体" w:cs="宋体"/>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1"/>
                <w:szCs w:val="24"/>
                <w:lang w:val="en-US" w:bidi="ar-SA"/>
              </w:rPr>
            </w:pPr>
            <w:r>
              <w:rPr>
                <w:rFonts w:hint="eastAsia" w:ascii="仿宋" w:hAnsi="仿宋" w:eastAsia="宋体" w:cs="仿宋"/>
                <w:kern w:val="0"/>
                <w:sz w:val="22"/>
                <w:szCs w:val="22"/>
                <w:lang w:val="en-US" w:bidi="ar-SA"/>
              </w:rPr>
              <w:t>10</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1"/>
                <w:szCs w:val="24"/>
                <w:lang w:val="en-US" w:bidi="ar-SA"/>
              </w:rPr>
            </w:pPr>
            <w:r>
              <w:rPr>
                <w:rFonts w:hint="eastAsia" w:ascii="宋体" w:hAnsi="宋体" w:cs="宋体"/>
                <w:color w:val="auto"/>
                <w:kern w:val="0"/>
                <w:szCs w:val="21"/>
                <w:lang w:val="en-US" w:eastAsia="zh-CN"/>
              </w:rPr>
              <w:t>实验用导线、网线</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lang w:val="en-US" w:bidi="ar-SA"/>
              </w:rPr>
            </w:pPr>
            <w:r>
              <w:rPr>
                <w:rFonts w:hint="eastAsia" w:ascii="宋体" w:hAnsi="宋体" w:eastAsia="宋体" w:cs="宋体"/>
                <w:szCs w:val="21"/>
                <w:lang w:val="en-US"/>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宋体"/>
                <w:kern w:val="2"/>
                <w:sz w:val="21"/>
                <w:szCs w:val="24"/>
                <w:lang w:val="en-US" w:eastAsia="zh-CN" w:bidi="ar-SA"/>
              </w:rPr>
            </w:pPr>
            <w:r>
              <w:rPr>
                <w:rFonts w:hint="eastAsia" w:ascii="仿宋" w:hAnsi="仿宋" w:eastAsia="宋体" w:cs="仿宋"/>
                <w:kern w:val="0"/>
                <w:sz w:val="22"/>
                <w:szCs w:val="22"/>
                <w:lang w:val="en-US" w:eastAsia="zh-CN" w:bidi="ar-SA"/>
              </w:rPr>
              <w:t>11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lang w:val="en-US" w:eastAsia="zh-CN"/>
              </w:rPr>
            </w:pPr>
            <w:r>
              <w:rPr>
                <w:rFonts w:hint="eastAsia" w:ascii="宋体" w:hAnsi="宋体" w:cs="宋体"/>
                <w:szCs w:val="21"/>
                <w:lang w:val="en-US"/>
              </w:rPr>
              <w:t>实验指导书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18"/>
                <w:szCs w:val="18"/>
                <w:lang w:val="en-US" w:bidi="ar-SA"/>
              </w:rPr>
            </w:pPr>
          </w:p>
        </w:tc>
      </w:t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tbl>
    <w:p>
      <w:pPr>
        <w:pStyle w:val="16"/>
        <w:numPr>
          <w:ilvl w:val="0"/>
          <w:numId w:val="3"/>
        </w:numPr>
        <w:spacing w:before="81"/>
        <w:rPr>
          <w:b/>
          <w:sz w:val="24"/>
        </w:rPr>
      </w:pPr>
      <w:r>
        <w:rPr>
          <w:b/>
          <w:color w:val="0D0D0D"/>
          <w:sz w:val="24"/>
        </w:rPr>
        <w:t>场地禁止自带使用的设备和材料</w:t>
      </w:r>
    </w:p>
    <w:p>
      <w:pPr>
        <w:pStyle w:val="3"/>
        <w:spacing w:before="163" w:line="360" w:lineRule="auto"/>
        <w:ind w:left="0" w:firstLineChars="200"/>
      </w:pPr>
      <w:r>
        <w:t>赛场内禁止自带设备和材料，包括：电子设备，如平板、手机、多媒体播放器、录音器，照相机，摄影机等。</w:t>
      </w:r>
    </w:p>
    <w:p/>
    <w:p>
      <w:pPr>
        <w:pStyle w:val="4"/>
        <w:spacing w:before="53"/>
        <w:ind w:left="0"/>
      </w:pPr>
      <w:r>
        <w:t>十、成绩评定</w:t>
      </w:r>
    </w:p>
    <w:p>
      <w:pPr>
        <w:pStyle w:val="5"/>
        <w:spacing w:before="214"/>
        <w:ind w:left="0"/>
      </w:pPr>
      <w:r>
        <w:t>（一）评分</w:t>
      </w:r>
      <w:r>
        <w:rPr>
          <w:rFonts w:hint="eastAsia"/>
        </w:rPr>
        <w:t>细则</w:t>
      </w:r>
    </w:p>
    <w:p>
      <w:pPr>
        <w:pStyle w:val="3"/>
        <w:spacing w:before="163" w:line="360" w:lineRule="auto"/>
        <w:ind w:left="0" w:firstLineChars="200"/>
        <w:jc w:val="center"/>
        <w:rPr>
          <w:lang w:val="en-US"/>
        </w:rPr>
      </w:pPr>
      <w:r>
        <w:rPr>
          <w:rFonts w:hint="eastAsia"/>
          <w:highlight w:val="none"/>
          <w:lang w:val="en-US"/>
        </w:rPr>
        <w:t>表4</w:t>
      </w:r>
      <w:r>
        <w:rPr>
          <w:highlight w:val="none"/>
          <w:lang w:val="en-US"/>
        </w:rPr>
        <w:t xml:space="preserve">  </w:t>
      </w:r>
      <w:r>
        <w:rPr>
          <w:rFonts w:hint="eastAsia"/>
          <w:highlight w:val="none"/>
          <w:lang w:val="en-US"/>
        </w:rPr>
        <w:t>赛项评分表</w:t>
      </w:r>
    </w:p>
    <w:tbl>
      <w:tblPr>
        <w:tblStyle w:val="21"/>
        <w:tblpPr w:leftFromText="180" w:rightFromText="180" w:vertAnchor="text" w:horzAnchor="page" w:tblpX="1560" w:tblpY="577"/>
        <w:tblOverlap w:val="never"/>
        <w:tblW w:w="5286" w:type="pct"/>
        <w:tblInd w:w="0" w:type="dxa"/>
        <w:tblLayout w:type="fixed"/>
        <w:tblCellMar>
          <w:top w:w="56" w:type="dxa"/>
          <w:left w:w="98" w:type="dxa"/>
          <w:bottom w:w="0" w:type="dxa"/>
          <w:right w:w="0" w:type="dxa"/>
        </w:tblCellMar>
      </w:tblPr>
      <w:tblGrid>
        <w:gridCol w:w="1117"/>
        <w:gridCol w:w="1526"/>
        <w:gridCol w:w="4413"/>
        <w:gridCol w:w="840"/>
        <w:gridCol w:w="526"/>
        <w:gridCol w:w="472"/>
      </w:tblGrid>
      <w:tr>
        <w:tblPrEx>
          <w:tblCellMar>
            <w:top w:w="56" w:type="dxa"/>
            <w:left w:w="98" w:type="dxa"/>
            <w:bottom w:w="0" w:type="dxa"/>
            <w:right w:w="0" w:type="dxa"/>
          </w:tblCellMar>
        </w:tblPrEx>
        <w:trPr>
          <w:trHeight w:val="566" w:hRule="atLeast"/>
        </w:trPr>
        <w:tc>
          <w:tcPr>
            <w:tcW w:w="62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97"/>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赛项名称 </w:t>
            </w:r>
          </w:p>
        </w:tc>
        <w:tc>
          <w:tcPr>
            <w:tcW w:w="3338"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98"/>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工业互联网预测性维护 </w:t>
            </w:r>
          </w:p>
        </w:tc>
        <w:tc>
          <w:tcPr>
            <w:tcW w:w="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
              <w:jc w:val="both"/>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赛位号 </w:t>
            </w:r>
          </w:p>
        </w:tc>
        <w:tc>
          <w:tcPr>
            <w:tcW w:w="561" w:type="pct"/>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 </w:t>
            </w:r>
          </w:p>
        </w:tc>
      </w:tr>
      <w:tr>
        <w:tblPrEx>
          <w:tblCellMar>
            <w:top w:w="56" w:type="dxa"/>
            <w:left w:w="98" w:type="dxa"/>
            <w:bottom w:w="0" w:type="dxa"/>
            <w:right w:w="0" w:type="dxa"/>
          </w:tblCellMar>
        </w:tblPrEx>
        <w:trPr>
          <w:trHeight w:val="534" w:hRule="atLeast"/>
        </w:trPr>
        <w:tc>
          <w:tcPr>
            <w:tcW w:w="62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评分标准一级指标 </w:t>
            </w:r>
          </w:p>
        </w:tc>
        <w:tc>
          <w:tcPr>
            <w:tcW w:w="85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评分标准二级指标及分值 </w:t>
            </w:r>
          </w:p>
        </w:tc>
        <w:tc>
          <w:tcPr>
            <w:tcW w:w="24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97"/>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评分说明 </w:t>
            </w:r>
          </w:p>
        </w:tc>
        <w:tc>
          <w:tcPr>
            <w:tcW w:w="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5"/>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配分 </w:t>
            </w:r>
          </w:p>
        </w:tc>
        <w:tc>
          <w:tcPr>
            <w:tcW w:w="29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
              <w:jc w:val="both"/>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得分 </w:t>
            </w:r>
          </w:p>
        </w:tc>
        <w:tc>
          <w:tcPr>
            <w:tcW w:w="2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
              <w:jc w:val="both"/>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项目分 </w:t>
            </w:r>
          </w:p>
        </w:tc>
      </w:tr>
      <w:tr>
        <w:tblPrEx>
          <w:tblCellMar>
            <w:top w:w="56" w:type="dxa"/>
            <w:left w:w="98" w:type="dxa"/>
            <w:bottom w:w="0" w:type="dxa"/>
            <w:right w:w="0" w:type="dxa"/>
          </w:tblCellMar>
        </w:tblPrEx>
        <w:trPr>
          <w:trHeight w:val="521" w:hRule="atLeast"/>
        </w:trPr>
        <w:tc>
          <w:tcPr>
            <w:tcW w:w="627" w:type="pct"/>
            <w:vMerge w:val="restart"/>
            <w:tcBorders>
              <w:top w:val="single" w:color="000000"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任务一</w:t>
            </w:r>
          </w:p>
        </w:tc>
        <w:tc>
          <w:tcPr>
            <w:tcW w:w="857" w:type="pct"/>
            <w:vMerge w:val="restart"/>
            <w:tcBorders>
              <w:top w:val="single" w:color="000000"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接线5分 </w:t>
            </w:r>
          </w:p>
        </w:tc>
        <w:tc>
          <w:tcPr>
            <w:tcW w:w="24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传感器接口连接正确，走线不影响设备运行。 </w:t>
            </w:r>
          </w:p>
        </w:tc>
        <w:tc>
          <w:tcPr>
            <w:tcW w:w="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2 </w:t>
            </w:r>
          </w:p>
        </w:tc>
        <w:tc>
          <w:tcPr>
            <w:tcW w:w="295" w:type="pct"/>
            <w:tcBorders>
              <w:top w:val="single" w:color="000000" w:sz="4" w:space="0"/>
              <w:left w:val="single" w:color="000000"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 </w:t>
            </w:r>
          </w:p>
        </w:tc>
        <w:tc>
          <w:tcPr>
            <w:tcW w:w="265" w:type="pct"/>
            <w:vMerge w:val="restar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 </w:t>
            </w:r>
          </w:p>
        </w:tc>
      </w:tr>
      <w:tr>
        <w:tblPrEx>
          <w:tblCellMar>
            <w:top w:w="56" w:type="dxa"/>
            <w:left w:w="98" w:type="dxa"/>
            <w:bottom w:w="0" w:type="dxa"/>
            <w:right w:w="0" w:type="dxa"/>
          </w:tblCellMar>
        </w:tblPrEx>
        <w:trPr>
          <w:trHeight w:val="90" w:hRule="atLeast"/>
        </w:trPr>
        <w:tc>
          <w:tcPr>
            <w:tcW w:w="627" w:type="pct"/>
            <w:vMerge w:val="continue"/>
            <w:tcBorders>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网关网口连接正确</w:t>
            </w:r>
          </w:p>
        </w:tc>
        <w:tc>
          <w:tcPr>
            <w:tcW w:w="47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000000" w:sz="4" w:space="0"/>
              <w:left w:val="single" w:color="000000"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3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restart"/>
            <w:tcBorders>
              <w:top w:val="single" w:color="000000"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数据上传</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10分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正确配置网关IP地址</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4</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3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正确配置信号名称、类型、采样频率，能在网关监测数据变化</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3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正确设定I/O模块</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restart"/>
            <w:tcBorders>
              <w:top w:val="nil"/>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数据分析</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10分 </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正确设定所采集信号名称</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按要求设置工单1</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按要求设置工单2</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90"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按要求进行数据分析</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20"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auto"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结论与截图相符</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656" w:hRule="atLeast"/>
        </w:trPr>
        <w:tc>
          <w:tcPr>
            <w:tcW w:w="627" w:type="pct"/>
            <w:vMerge w:val="restart"/>
            <w:tcBorders>
              <w:top w:val="single" w:color="auto" w:sz="4" w:space="0"/>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任务二</w:t>
            </w:r>
          </w:p>
        </w:tc>
        <w:tc>
          <w:tcPr>
            <w:tcW w:w="857" w:type="pct"/>
            <w:vMerge w:val="restart"/>
            <w:tcBorders>
              <w:top w:val="single" w:color="auto"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配置PLC OPC UA通讯</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10分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选择正确变量加入OPC UA通讯表</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5</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restar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20"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正确使用UA expert软件进行变量监控</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5</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660"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restart"/>
            <w:tcBorders>
              <w:top w:val="single" w:color="auto" w:sz="4" w:space="0"/>
              <w:left w:val="single" w:color="000000" w:sz="4" w:space="0"/>
              <w:right w:val="single" w:color="auto"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数据上传</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7分</w:t>
            </w:r>
          </w:p>
        </w:tc>
        <w:tc>
          <w:tcPr>
            <w:tcW w:w="2480" w:type="pct"/>
            <w:tcBorders>
              <w:top w:val="single" w:color="000000" w:sz="4" w:space="0"/>
              <w:left w:val="single" w:color="auto"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正确配置网关IP地址</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4</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660"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auto"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auto"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正确配置信号名称、类型、采样频率，能在网关监测数据变化</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18"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restart"/>
            <w:tcBorders>
              <w:top w:val="single" w:color="auto" w:sz="4" w:space="0"/>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数据分析</w:t>
            </w:r>
          </w:p>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13分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正确命名采集信号</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37"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按要求设置工单3</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602" w:hRule="atLeast"/>
        </w:trPr>
        <w:tc>
          <w:tcPr>
            <w:tcW w:w="62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按要求设置工单4</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62"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bottom w:val="single" w:color="auto"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按要求进行数据分析</w:t>
            </w:r>
          </w:p>
        </w:tc>
        <w:tc>
          <w:tcPr>
            <w:tcW w:w="472" w:type="pct"/>
            <w:tcBorders>
              <w:top w:val="single" w:color="000000" w:sz="4" w:space="0"/>
              <w:left w:val="single" w:color="000000" w:sz="4" w:space="0"/>
              <w:bottom w:val="single" w:color="auto"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4</w:t>
            </w:r>
          </w:p>
        </w:tc>
        <w:tc>
          <w:tcPr>
            <w:tcW w:w="295" w:type="pct"/>
            <w:tcBorders>
              <w:top w:val="single" w:color="000000" w:sz="4" w:space="0"/>
              <w:left w:val="single" w:color="000000" w:sz="4" w:space="0"/>
              <w:bottom w:val="single" w:color="auto"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8" w:hRule="atLeast"/>
        </w:trPr>
        <w:tc>
          <w:tcPr>
            <w:tcW w:w="627" w:type="pct"/>
            <w:vMerge w:val="continue"/>
            <w:tcBorders>
              <w:left w:val="single" w:color="000000" w:sz="4" w:space="0"/>
              <w:bottom w:val="single" w:color="auto"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auto"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bottom w:val="single" w:color="auto"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结论与截图相符</w:t>
            </w:r>
          </w:p>
        </w:tc>
        <w:tc>
          <w:tcPr>
            <w:tcW w:w="472" w:type="pct"/>
            <w:tcBorders>
              <w:top w:val="single" w:color="000000" w:sz="4" w:space="0"/>
              <w:left w:val="single" w:color="000000" w:sz="4" w:space="0"/>
              <w:bottom w:val="single" w:color="auto"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000000" w:sz="4" w:space="0"/>
              <w:left w:val="single" w:color="000000" w:sz="4" w:space="0"/>
              <w:bottom w:val="single" w:color="auto"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tcBorders>
              <w:left w:val="single" w:color="000000"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299" w:hRule="atLeast"/>
        </w:trPr>
        <w:tc>
          <w:tcPr>
            <w:tcW w:w="627" w:type="pct"/>
            <w:vMerge w:val="restart"/>
            <w:tcBorders>
              <w:top w:val="single" w:color="auto" w:sz="4" w:space="0"/>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任务三</w:t>
            </w:r>
          </w:p>
        </w:tc>
        <w:tc>
          <w:tcPr>
            <w:tcW w:w="857" w:type="pct"/>
            <w:vMerge w:val="restart"/>
            <w:tcBorders>
              <w:top w:val="single" w:color="auto" w:sz="4" w:space="0"/>
              <w:left w:val="single" w:color="000000" w:sz="4" w:space="0"/>
              <w:right w:val="single" w:color="000000" w:sz="4" w:space="0"/>
            </w:tcBorders>
            <w:vAlign w:val="center"/>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传感器安装</w:t>
            </w:r>
          </w:p>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9分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正确安装传感器</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restar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21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传感器连线正确</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0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PLC正确配置信号</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5</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0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restart"/>
            <w:tcBorders>
              <w:left w:val="single" w:color="000000" w:sz="4" w:space="0"/>
              <w:right w:val="single" w:color="000000" w:sz="4" w:space="0"/>
            </w:tcBorders>
          </w:tcPr>
          <w:p>
            <w:pPr>
              <w:spacing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OPC UA 通讯 4分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信号正确加入OPC UA变量表</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0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正确使用UA expert软件进行变量监控</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0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restart"/>
            <w:tcBorders>
              <w:left w:val="single" w:color="000000" w:sz="4" w:space="0"/>
              <w:right w:val="single" w:color="000000" w:sz="4" w:space="0"/>
            </w:tcBorders>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数据上传</w:t>
            </w:r>
          </w:p>
          <w:p>
            <w:pPr>
              <w:spacing w:line="240" w:lineRule="auto"/>
              <w:jc w:val="center"/>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4分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正确配置网关IP地址</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59"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jc w:val="center"/>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正确配置信号名称、类型、采样频率，能在网关监测数据变化</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435"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restart"/>
            <w:tcBorders>
              <w:left w:val="single" w:color="000000" w:sz="4" w:space="0"/>
              <w:right w:val="single" w:color="000000" w:sz="4" w:space="0"/>
            </w:tcBorders>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数据分析</w:t>
            </w:r>
          </w:p>
          <w:p>
            <w:pPr>
              <w:spacing w:line="240" w:lineRule="auto"/>
              <w:jc w:val="center"/>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18分</w:t>
            </w:r>
          </w:p>
        </w:tc>
        <w:tc>
          <w:tcPr>
            <w:tcW w:w="2480" w:type="pct"/>
            <w:tcBorders>
              <w:top w:val="single" w:color="000000" w:sz="4" w:space="0"/>
              <w:left w:val="single" w:color="000000" w:sz="4" w:space="0"/>
              <w:right w:val="single" w:color="000000" w:sz="4" w:space="0"/>
            </w:tcBorders>
            <w:vAlign w:val="center"/>
          </w:tcPr>
          <w:p>
            <w:pPr>
              <w:spacing w:after="0" w:line="240" w:lineRule="auto"/>
              <w:ind w:left="1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在平台上，正确命名所采集信号</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61"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按要求设置工单5</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61"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按要求设置工单6</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61"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按要求设置工单7</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361"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按要求设置工单8</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按要求进行数据分析</w:t>
            </w:r>
          </w:p>
        </w:tc>
        <w:tc>
          <w:tcPr>
            <w:tcW w:w="472" w:type="pct"/>
            <w:tcBorders>
              <w:top w:val="single" w:color="auto" w:sz="4" w:space="0"/>
              <w:left w:val="single" w:color="auto" w:sz="4" w:space="0"/>
              <w:bottom w:val="single" w:color="auto" w:sz="4" w:space="0"/>
              <w:right w:val="single" w:color="auto"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5</w:t>
            </w:r>
          </w:p>
        </w:tc>
        <w:tc>
          <w:tcPr>
            <w:tcW w:w="295" w:type="pct"/>
            <w:tcBorders>
              <w:top w:val="single" w:color="auto" w:sz="4" w:space="0"/>
              <w:left w:val="single" w:color="auto" w:sz="4" w:space="0"/>
              <w:bottom w:val="single" w:color="auto" w:sz="4" w:space="0"/>
              <w:right w:val="single" w:color="auto"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auto"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bottom w:val="single" w:color="auto"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auto" w:sz="4" w:space="0"/>
              <w:right w:val="single" w:color="000000" w:sz="4" w:space="0"/>
            </w:tcBorders>
          </w:tcPr>
          <w:p>
            <w:pPr>
              <w:spacing w:line="240" w:lineRule="auto"/>
              <w:rPr>
                <w:rFonts w:hint="eastAsia" w:ascii="仿宋" w:hAnsi="仿宋" w:eastAsia="仿宋" w:cs="仿宋"/>
                <w:sz w:val="24"/>
                <w:szCs w:val="24"/>
                <w:highlight w:val="none"/>
                <w:lang w:val="en-US" w:eastAsia="zh-CN" w:bidi="zh-CN"/>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结论与截图相符</w:t>
            </w:r>
          </w:p>
        </w:tc>
        <w:tc>
          <w:tcPr>
            <w:tcW w:w="472" w:type="pct"/>
            <w:tcBorders>
              <w:top w:val="single" w:color="auto" w:sz="4" w:space="0"/>
              <w:left w:val="single" w:color="auto" w:sz="4" w:space="0"/>
              <w:bottom w:val="single" w:color="auto" w:sz="4" w:space="0"/>
              <w:right w:val="single" w:color="auto" w:sz="4" w:space="0"/>
            </w:tcBorders>
            <w:vAlign w:val="center"/>
          </w:tcPr>
          <w:p>
            <w:pPr>
              <w:spacing w:after="0" w:line="240" w:lineRule="auto"/>
              <w:ind w:right="10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auto" w:sz="4" w:space="0"/>
              <w:left w:val="single" w:color="auto" w:sz="4" w:space="0"/>
              <w:bottom w:val="single" w:color="auto" w:sz="4" w:space="0"/>
              <w:right w:val="single" w:color="auto"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tcBorders>
              <w:left w:val="single" w:color="auto" w:sz="4" w:space="0"/>
              <w:bottom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restart"/>
            <w:tcBorders>
              <w:top w:val="single" w:color="auto"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职业</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素养</w:t>
            </w:r>
          </w:p>
        </w:tc>
        <w:tc>
          <w:tcPr>
            <w:tcW w:w="857" w:type="pct"/>
            <w:tcBorders>
              <w:top w:val="single" w:color="auto" w:sz="4" w:space="0"/>
              <w:left w:val="single" w:color="000000" w:sz="4" w:space="0"/>
              <w:right w:val="single" w:color="000000" w:sz="4" w:space="0"/>
            </w:tcBorders>
            <w:vAlign w:val="center"/>
          </w:tcPr>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安全意识</w:t>
            </w:r>
          </w:p>
          <w:p>
            <w:pPr>
              <w:spacing w:after="0"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3分</w:t>
            </w:r>
          </w:p>
        </w:tc>
        <w:tc>
          <w:tcPr>
            <w:tcW w:w="2480" w:type="pct"/>
            <w:tcBorders>
              <w:top w:val="single" w:color="auto"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 出现不符合安全操作规程的行为（如带电插拔）</w:t>
            </w:r>
          </w:p>
        </w:tc>
        <w:tc>
          <w:tcPr>
            <w:tcW w:w="472" w:type="pct"/>
            <w:tcBorders>
              <w:top w:val="single" w:color="auto" w:sz="4" w:space="0"/>
              <w:left w:val="single" w:color="000000" w:sz="4" w:space="0"/>
              <w:right w:val="single" w:color="000000" w:sz="4" w:space="0"/>
            </w:tcBorders>
            <w:vAlign w:val="center"/>
          </w:tcPr>
          <w:p>
            <w:pPr>
              <w:spacing w:after="0" w:line="240" w:lineRule="auto"/>
              <w:ind w:right="105"/>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w:t>
            </w:r>
          </w:p>
        </w:tc>
        <w:tc>
          <w:tcPr>
            <w:tcW w:w="295" w:type="pct"/>
            <w:tcBorders>
              <w:top w:val="single" w:color="auto"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restar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857" w:type="pct"/>
            <w:vMerge w:val="restart"/>
            <w:tcBorders>
              <w:top w:val="single" w:color="auto" w:sz="4" w:space="0"/>
              <w:left w:val="single" w:color="000000" w:sz="4" w:space="0"/>
              <w:right w:val="single" w:color="000000" w:sz="4" w:space="0"/>
            </w:tcBorders>
            <w:vAlign w:val="center"/>
          </w:tcPr>
          <w:p>
            <w:pPr>
              <w:spacing w:after="0" w:line="240" w:lineRule="auto"/>
              <w:ind w:left="4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现场管理</w:t>
            </w:r>
          </w:p>
          <w:p>
            <w:pPr>
              <w:spacing w:after="0" w:line="240" w:lineRule="auto"/>
              <w:ind w:left="4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4分</w:t>
            </w: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保持工位整洁。如设备及工具摆放杂乱扣1分。</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0"/>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1</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79" w:hRule="atLeast"/>
        </w:trPr>
        <w:tc>
          <w:tcPr>
            <w:tcW w:w="62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现场未清理扣 1 分，清理不到位扣 1 分。</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5"/>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1 </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auto"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提前操作扣1分；竞赛时间结束仍继续操作扣1分；不遵守赛场纪律或者不服从裁判管理，扣2分。</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0"/>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2</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857" w:type="pct"/>
            <w:vMerge w:val="restart"/>
            <w:tcBorders>
              <w:top w:val="single" w:color="auto" w:sz="4" w:space="0"/>
              <w:left w:val="single" w:color="000000" w:sz="4" w:space="0"/>
              <w:right w:val="single" w:color="000000" w:sz="4" w:space="0"/>
            </w:tcBorders>
            <w:vAlign w:val="center"/>
          </w:tcPr>
          <w:p>
            <w:pPr>
              <w:spacing w:after="0" w:line="240" w:lineRule="auto"/>
              <w:ind w:left="4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操作规范</w:t>
            </w:r>
          </w:p>
          <w:p>
            <w:pPr>
              <w:spacing w:after="0" w:line="240" w:lineRule="auto"/>
              <w:ind w:left="41"/>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3分</w:t>
            </w: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爱惜赛场的设备和器材。如违规操作仪器仪表损坏，扣1.5分。最多扣1.5分 </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0"/>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1.5 </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504" w:hRule="atLeast"/>
        </w:trPr>
        <w:tc>
          <w:tcPr>
            <w:tcW w:w="627" w:type="pct"/>
            <w:vMerge w:val="continue"/>
            <w:tcBorders>
              <w:left w:val="single" w:color="000000"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857" w:type="pct"/>
            <w:vMerge w:val="continue"/>
            <w:tcBorders>
              <w:left w:val="single" w:color="000000" w:sz="4" w:space="0"/>
              <w:bottom w:val="single" w:color="auto" w:sz="4" w:space="0"/>
              <w:right w:val="single" w:color="000000" w:sz="4" w:space="0"/>
            </w:tcBorders>
          </w:tcPr>
          <w:p>
            <w:pPr>
              <w:spacing w:after="0" w:line="240" w:lineRule="auto"/>
              <w:rPr>
                <w:rFonts w:hint="eastAsia" w:ascii="仿宋" w:hAnsi="仿宋" w:eastAsia="仿宋" w:cs="仿宋"/>
                <w:sz w:val="24"/>
                <w:szCs w:val="24"/>
                <w:highlight w:val="none"/>
                <w:lang w:val="en-US" w:eastAsia="zh-CN" w:bidi="zh-CN"/>
              </w:rPr>
            </w:pPr>
          </w:p>
        </w:tc>
        <w:tc>
          <w:tcPr>
            <w:tcW w:w="2480" w:type="pct"/>
            <w:tcBorders>
              <w:top w:val="single" w:color="000000" w:sz="4" w:space="0"/>
              <w:left w:val="single" w:color="000000" w:sz="4" w:space="0"/>
              <w:right w:val="single" w:color="000000" w:sz="4" w:space="0"/>
            </w:tcBorders>
            <w:vAlign w:val="center"/>
          </w:tcPr>
          <w:p>
            <w:pPr>
              <w:spacing w:after="0" w:line="240" w:lineRule="auto"/>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爱惜赛场的工具。如违规操作工具损坏，扣1.5分。最多扣1.5分 </w:t>
            </w:r>
          </w:p>
        </w:tc>
        <w:tc>
          <w:tcPr>
            <w:tcW w:w="472" w:type="pct"/>
            <w:tcBorders>
              <w:top w:val="single" w:color="000000" w:sz="4" w:space="0"/>
              <w:left w:val="single" w:color="000000" w:sz="4" w:space="0"/>
              <w:right w:val="single" w:color="000000" w:sz="4" w:space="0"/>
            </w:tcBorders>
            <w:vAlign w:val="center"/>
          </w:tcPr>
          <w:p>
            <w:pPr>
              <w:spacing w:after="0" w:line="240" w:lineRule="auto"/>
              <w:ind w:right="100"/>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1.5 </w:t>
            </w:r>
          </w:p>
        </w:tc>
        <w:tc>
          <w:tcPr>
            <w:tcW w:w="295" w:type="pct"/>
            <w:tcBorders>
              <w:top w:val="single" w:color="000000" w:sz="4" w:space="0"/>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c>
          <w:tcPr>
            <w:tcW w:w="265" w:type="pct"/>
            <w:vMerge w:val="continue"/>
            <w:tcBorders>
              <w:left w:val="single" w:color="000000" w:sz="4" w:space="0"/>
              <w:right w:val="single" w:color="000000" w:sz="4" w:space="0"/>
            </w:tcBorders>
          </w:tcPr>
          <w:p>
            <w:pPr>
              <w:spacing w:after="0" w:line="240" w:lineRule="auto"/>
              <w:ind w:left="8"/>
              <w:jc w:val="center"/>
              <w:rPr>
                <w:rFonts w:hint="eastAsia" w:ascii="仿宋" w:hAnsi="仿宋" w:eastAsia="仿宋" w:cs="仿宋"/>
                <w:sz w:val="24"/>
                <w:szCs w:val="24"/>
                <w:highlight w:val="none"/>
                <w:lang w:val="en-US" w:eastAsia="zh-CN" w:bidi="zh-CN"/>
              </w:rPr>
            </w:pPr>
          </w:p>
        </w:tc>
      </w:tr>
      <w:tr>
        <w:tblPrEx>
          <w:tblCellMar>
            <w:top w:w="56" w:type="dxa"/>
            <w:left w:w="98" w:type="dxa"/>
            <w:bottom w:w="0" w:type="dxa"/>
            <w:right w:w="0" w:type="dxa"/>
          </w:tblCellMar>
        </w:tblPrEx>
        <w:trPr>
          <w:trHeight w:val="1303" w:hRule="atLeast"/>
        </w:trPr>
        <w:tc>
          <w:tcPr>
            <w:tcW w:w="4438" w:type="pct"/>
            <w:gridSpan w:val="4"/>
            <w:tcBorders>
              <w:top w:val="single" w:color="000000" w:sz="4" w:space="0"/>
              <w:left w:val="single" w:color="000000" w:sz="4" w:space="0"/>
              <w:bottom w:val="single" w:color="auto" w:sz="4" w:space="0"/>
              <w:right w:val="single" w:color="auto" w:sz="4" w:space="0"/>
            </w:tcBorders>
            <w:vAlign w:val="center"/>
          </w:tcPr>
          <w:p>
            <w:pPr>
              <w:spacing w:line="240" w:lineRule="auto"/>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合  计</w:t>
            </w:r>
          </w:p>
        </w:tc>
        <w:tc>
          <w:tcPr>
            <w:tcW w:w="561" w:type="pct"/>
            <w:gridSpan w:val="2"/>
            <w:tcBorders>
              <w:top w:val="single" w:color="000000" w:sz="4" w:space="0"/>
              <w:left w:val="single" w:color="auto" w:sz="4" w:space="0"/>
              <w:bottom w:val="single" w:color="auto" w:sz="4" w:space="0"/>
              <w:right w:val="single" w:color="000000" w:sz="4" w:space="0"/>
            </w:tcBorders>
            <w:vAlign w:val="center"/>
          </w:tcPr>
          <w:p>
            <w:pPr>
              <w:spacing w:after="0" w:line="240" w:lineRule="auto"/>
              <w:ind w:left="8"/>
              <w:jc w:val="center"/>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 xml:space="preserve"> </w:t>
            </w:r>
          </w:p>
        </w:tc>
      </w:tr>
    </w:tbl>
    <w:p>
      <w:pPr>
        <w:pStyle w:val="2"/>
        <w:ind w:left="0" w:firstLine="4096" w:firstLineChars="1700"/>
        <w:rPr>
          <w:b/>
          <w:bCs/>
          <w:lang w:val="en-US"/>
        </w:rPr>
      </w:pPr>
    </w:p>
    <w:p>
      <w:pPr>
        <w:spacing w:before="82"/>
        <w:ind w:right="-8"/>
        <w:rPr>
          <w:b/>
          <w:sz w:val="24"/>
        </w:rPr>
      </w:pPr>
      <w:r>
        <w:rPr>
          <w:b/>
          <w:sz w:val="24"/>
        </w:rPr>
        <w:t>（二）评分方法</w:t>
      </w:r>
    </w:p>
    <w:p>
      <w:pPr>
        <w:pStyle w:val="3"/>
        <w:spacing w:before="163" w:line="360" w:lineRule="auto"/>
        <w:ind w:left="0" w:firstLineChars="200"/>
      </w:pPr>
      <w:r>
        <w:t>1.赛项裁判组负责赛项成绩评定工作，设裁判长一名，全面负责赛项的裁判和管理工作。</w:t>
      </w:r>
    </w:p>
    <w:p>
      <w:pPr>
        <w:pStyle w:val="3"/>
        <w:spacing w:before="163" w:line="360" w:lineRule="auto"/>
        <w:ind w:left="0" w:firstLineChars="200"/>
      </w:pPr>
      <w:r>
        <w:t>2.参赛选手根据赛项任务书的要求进行操作，需要裁判确认的内容必须举手经过裁判员的确认，否则不得分。</w:t>
      </w:r>
    </w:p>
    <w:p>
      <w:pPr>
        <w:pStyle w:val="3"/>
        <w:spacing w:before="163" w:line="360" w:lineRule="auto"/>
        <w:ind w:left="0" w:firstLineChars="200"/>
      </w:pPr>
      <w:r>
        <w:t>3.赛项裁判组本着“公平、公正、公开、科学、规范、透明、无异议”的原则，根据裁判的现场记录、参赛队选手的赛项任务书及评分标准，评定成绩。</w:t>
      </w:r>
    </w:p>
    <w:p>
      <w:pPr>
        <w:pStyle w:val="3"/>
        <w:spacing w:before="163" w:line="360" w:lineRule="auto"/>
        <w:ind w:left="0" w:firstLineChars="200"/>
      </w:pPr>
      <w:r>
        <w:t>4. 赛项裁判组负责评分，最终成绩由过程评分和比赛用时两部分组成。过程评分主要考核整个比赛过程的准确度和完善度，比赛用时为完成整个赛程任务的用时。过程评分作为主要的评分依据，赛时评分作为辅助评分依据（当所有过程完全满足或完成任务相同时，赛时评分生效）。所有评分材料须由相应评分裁判签字和裁判长确认。</w:t>
      </w:r>
    </w:p>
    <w:p>
      <w:pPr>
        <w:pStyle w:val="3"/>
        <w:spacing w:before="163" w:line="360" w:lineRule="auto"/>
        <w:ind w:left="0" w:firstLineChars="200"/>
      </w:pPr>
      <w:r>
        <w:t>5.名次按比赛成绩由高到低排列，比赛成绩高的参赛队名次在前。</w:t>
      </w:r>
    </w:p>
    <w:p>
      <w:pPr>
        <w:pStyle w:val="5"/>
        <w:spacing w:before="8" w:line="360" w:lineRule="auto"/>
        <w:ind w:left="0" w:right="-8"/>
      </w:pPr>
      <w:r>
        <w:t>（三）成绩审核与产生</w:t>
      </w:r>
    </w:p>
    <w:p>
      <w:pPr>
        <w:pStyle w:val="3"/>
        <w:spacing w:before="163" w:line="360" w:lineRule="auto"/>
        <w:ind w:left="0" w:firstLineChars="200"/>
      </w:pPr>
      <w:bookmarkStart w:id="260" w:name="_Toc18644"/>
      <w:r>
        <w:rPr>
          <w:rFonts w:hint="eastAsia"/>
        </w:rPr>
        <w:t>记分员将解密后的各参赛队伍成绩汇总成比赛成绩，经裁判长、仲裁长签字后，公布比赛结果。公布2小时无异议后，将赛项总成绩的最终结果录入赛务管理系统，经裁判长和仲裁长系统导出成绩单上审核签字后，在成绩发布会上宣布并颁发证书。</w:t>
      </w:r>
      <w:bookmarkEnd w:id="260"/>
    </w:p>
    <w:p>
      <w:pPr>
        <w:pStyle w:val="4"/>
        <w:spacing w:before="32"/>
        <w:ind w:left="0" w:right="-8"/>
      </w:pPr>
      <w:r>
        <w:t>十一、奖项设定</w:t>
      </w:r>
    </w:p>
    <w:p>
      <w:pPr>
        <w:pStyle w:val="5"/>
        <w:spacing w:before="214" w:line="360" w:lineRule="auto"/>
        <w:ind w:left="0" w:right="-8"/>
      </w:pPr>
      <w:r>
        <w:t>（一）参赛选手奖</w:t>
      </w:r>
    </w:p>
    <w:p>
      <w:pPr>
        <w:pStyle w:val="3"/>
        <w:spacing w:before="163" w:line="360" w:lineRule="auto"/>
        <w:ind w:left="0" w:firstLineChars="200"/>
      </w:pPr>
      <w:bookmarkStart w:id="261" w:name="_Toc7382"/>
      <w:r>
        <w:rPr>
          <w:rFonts w:hint="eastAsia"/>
        </w:rPr>
        <w:t>本赛项奖项设团体奖。竞赛团体奖的设定为：一等奖占参赛队伍的</w:t>
      </w:r>
      <w:r>
        <w:rPr>
          <w:rFonts w:hint="eastAsia"/>
          <w:lang w:val="en-US" w:eastAsia="zh-CN"/>
        </w:rPr>
        <w:t>10</w:t>
      </w:r>
      <w:r>
        <w:rPr>
          <w:rFonts w:hint="eastAsia"/>
        </w:rPr>
        <w:t>%，二等奖占参赛队伍的</w:t>
      </w:r>
      <w:r>
        <w:rPr>
          <w:rFonts w:hint="eastAsia"/>
          <w:lang w:val="en-US" w:eastAsia="zh-CN"/>
        </w:rPr>
        <w:t>20</w:t>
      </w:r>
      <w:r>
        <w:rPr>
          <w:rFonts w:hint="eastAsia"/>
        </w:rPr>
        <w:t>%，三等奖占参赛队伍的</w:t>
      </w:r>
      <w:r>
        <w:rPr>
          <w:rFonts w:hint="eastAsia"/>
          <w:lang w:val="en-US" w:eastAsia="zh-CN"/>
        </w:rPr>
        <w:t>30</w:t>
      </w:r>
      <w:r>
        <w:rPr>
          <w:rFonts w:hint="eastAsia"/>
        </w:rPr>
        <w:t>%，优秀奖占参赛队伍的</w:t>
      </w:r>
      <w:r>
        <w:rPr>
          <w:rFonts w:hint="eastAsia"/>
          <w:lang w:val="en-US" w:eastAsia="zh-CN"/>
        </w:rPr>
        <w:t>40</w:t>
      </w:r>
      <w:r>
        <w:rPr>
          <w:rFonts w:hint="eastAsia"/>
        </w:rPr>
        <w:t>%，小数点后四舍五入。</w:t>
      </w:r>
      <w:bookmarkEnd w:id="261"/>
    </w:p>
    <w:p>
      <w:pPr>
        <w:pStyle w:val="5"/>
        <w:spacing w:before="214" w:line="360" w:lineRule="auto"/>
        <w:ind w:left="0" w:right="-8"/>
      </w:pPr>
      <w:r>
        <w:t>（二）指导教师奖</w:t>
      </w:r>
    </w:p>
    <w:p>
      <w:pPr>
        <w:pStyle w:val="3"/>
        <w:spacing w:before="163" w:line="360" w:lineRule="auto"/>
        <w:ind w:left="0" w:firstLineChars="200"/>
      </w:pPr>
      <w:bookmarkStart w:id="262" w:name="_Toc5464"/>
      <w:r>
        <w:rPr>
          <w:rFonts w:hint="eastAsia"/>
        </w:rPr>
        <w:t>获奖的指导教师由组委会颁发优秀指导教师证书。</w:t>
      </w:r>
      <w:bookmarkEnd w:id="262"/>
    </w:p>
    <w:p>
      <w:pPr>
        <w:pStyle w:val="4"/>
        <w:spacing w:before="133"/>
        <w:ind w:left="0" w:right="-8"/>
      </w:pPr>
      <w:r>
        <w:t>十二、赛场预案</w:t>
      </w:r>
    </w:p>
    <w:p>
      <w:pPr>
        <w:pStyle w:val="3"/>
        <w:spacing w:before="163" w:line="360" w:lineRule="auto"/>
        <w:ind w:left="0" w:firstLineChars="200"/>
      </w:pPr>
      <w: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pStyle w:val="5"/>
        <w:spacing w:before="5"/>
        <w:ind w:left="0" w:right="-8"/>
      </w:pPr>
      <w:r>
        <w:rPr>
          <w:w w:val="95"/>
        </w:rPr>
        <w:t>（</w:t>
      </w:r>
      <w:r>
        <w:rPr>
          <w:spacing w:val="4"/>
          <w:w w:val="95"/>
        </w:rPr>
        <w:t>一</w:t>
      </w:r>
      <w:r>
        <w:rPr>
          <w:w w:val="95"/>
        </w:rPr>
        <w:t>）消防预案</w:t>
      </w:r>
    </w:p>
    <w:p>
      <w:pPr>
        <w:pStyle w:val="3"/>
        <w:spacing w:before="163" w:line="360" w:lineRule="auto"/>
        <w:ind w:left="0" w:firstLineChars="200"/>
      </w:pPr>
      <w:r>
        <w:rPr>
          <w:rFonts w:hint="eastAsia"/>
        </w:rPr>
        <w:t>1.</w:t>
      </w:r>
      <w:r>
        <w:t>赛前赛场进行严格的场地清理， 将易燃易爆材料和与比赛无关物品设备等清理出赛场。</w:t>
      </w:r>
    </w:p>
    <w:p>
      <w:pPr>
        <w:pStyle w:val="3"/>
        <w:spacing w:before="163" w:line="360" w:lineRule="auto"/>
        <w:ind w:left="0" w:firstLineChars="200"/>
      </w:pPr>
      <w:r>
        <w:rPr>
          <w:rFonts w:hint="eastAsia"/>
        </w:rPr>
        <w:t>2.</w:t>
      </w:r>
      <w:r>
        <w:t>在赛场准备一定数量的灭火器散布在赛场中。</w:t>
      </w:r>
    </w:p>
    <w:p>
      <w:pPr>
        <w:pStyle w:val="3"/>
        <w:spacing w:before="163" w:line="360" w:lineRule="auto"/>
        <w:ind w:left="0" w:firstLineChars="200"/>
      </w:pPr>
      <w:r>
        <w:rPr>
          <w:rFonts w:hint="eastAsia"/>
        </w:rPr>
        <w:t>3.</w:t>
      </w:r>
      <w:r>
        <w:t>设立防火巡视员、禁烟员，赛场及其周围严禁吸烟。</w:t>
      </w:r>
    </w:p>
    <w:p>
      <w:pPr>
        <w:pStyle w:val="3"/>
        <w:spacing w:before="163" w:line="360" w:lineRule="auto"/>
        <w:ind w:left="0" w:firstLineChars="200"/>
      </w:pPr>
      <w:r>
        <w:rPr>
          <w:rFonts w:hint="eastAsia"/>
        </w:rPr>
        <w:t>4.</w:t>
      </w:r>
      <w:r>
        <w:t>比赛场地要有紧急疏散通道，比赛期间要保证通道畅通， 让所有人都知晓疏散通道的出口，并做出明显的引导指示标志。</w:t>
      </w:r>
    </w:p>
    <w:p>
      <w:pPr>
        <w:pStyle w:val="5"/>
        <w:spacing w:before="133"/>
        <w:ind w:left="0" w:right="-8"/>
      </w:pPr>
      <w:r>
        <w:t>（二）供电预案</w:t>
      </w:r>
    </w:p>
    <w:p>
      <w:pPr>
        <w:pStyle w:val="3"/>
        <w:spacing w:before="163" w:line="360" w:lineRule="auto"/>
        <w:ind w:left="0" w:firstLineChars="200"/>
      </w:pPr>
      <w:r>
        <w:t>赛场提供稳定的供电应急设备，并有设备维修和电力抢险人员待命。竞赛期间突遇断电、停电，赛场安全负责人要做好参赛人员安抚工作，立即向竞赛裁判组报告，并根据指示做出决定。联系相关人员检查断电原因，组织人员立即抢修， 尽快恢复供电，并记录断电情况、处理过程以备查阅。</w:t>
      </w:r>
    </w:p>
    <w:p>
      <w:pPr>
        <w:pStyle w:val="5"/>
        <w:spacing w:line="298" w:lineRule="exact"/>
        <w:ind w:left="0" w:right="-8"/>
        <w:jc w:val="both"/>
      </w:pPr>
      <w:r>
        <w:t>（三） 医疗预案</w:t>
      </w:r>
    </w:p>
    <w:p>
      <w:pPr>
        <w:pStyle w:val="3"/>
        <w:spacing w:before="163" w:line="360" w:lineRule="auto"/>
        <w:ind w:left="0" w:firstLineChars="200"/>
      </w:pPr>
      <w:r>
        <w:t>现场配备医护人员，配备一些常用应急药品，参赛相关人员如突发疾病，要 立刻拨打医疗求救电话，如果当地医疗保障设施不是很完善，建议配备备用车辆， 在救护车不能及时到达的情况下，由现场医护人员陪同自行把病号送往就近医院。</w:t>
      </w:r>
    </w:p>
    <w:p>
      <w:pPr>
        <w:pStyle w:val="5"/>
        <w:spacing w:line="307" w:lineRule="exact"/>
        <w:ind w:left="0" w:right="-8"/>
      </w:pPr>
      <w:r>
        <w:t>（四）设备预案</w:t>
      </w:r>
    </w:p>
    <w:p>
      <w:pPr>
        <w:pStyle w:val="3"/>
        <w:spacing w:before="163" w:line="360" w:lineRule="auto"/>
        <w:ind w:left="0" w:firstLineChars="200"/>
      </w:pPr>
      <w:r>
        <w:t>赛场提供一定量的备用设备。在比赛过程中，参赛选手如遇设备或软件等故障，参赛选手应举手示意，现场裁判、技术人员等应及时予以解决。确因计算机软件或硬件故障，致使操作无法继续的，经赛场裁判长确认，予以启用备用设备。</w:t>
      </w:r>
    </w:p>
    <w:p>
      <w:pPr>
        <w:pStyle w:val="5"/>
        <w:spacing w:line="307" w:lineRule="exact"/>
        <w:ind w:left="0" w:right="-8"/>
      </w:pPr>
      <w:r>
        <w:t>（五）赛题预案</w:t>
      </w:r>
    </w:p>
    <w:p>
      <w:pPr>
        <w:pStyle w:val="3"/>
        <w:spacing w:before="163" w:line="360" w:lineRule="auto"/>
        <w:ind w:left="0" w:firstLineChars="200"/>
      </w:pPr>
      <w:r>
        <w:rPr>
          <w:rFonts w:hint="eastAsia"/>
        </w:rPr>
        <w:t>1.</w:t>
      </w:r>
      <w:r>
        <w:t>命题期间，对所有命题相关人员进行封闭管理，直至赛项比赛结束。所有涉及竞赛赛题的人员必须签署保密协议。</w:t>
      </w:r>
    </w:p>
    <w:p>
      <w:pPr>
        <w:pStyle w:val="3"/>
        <w:spacing w:before="163" w:line="360" w:lineRule="auto"/>
        <w:ind w:left="0" w:firstLineChars="200"/>
      </w:pPr>
      <w:r>
        <w:rPr>
          <w:rFonts w:hint="eastAsia"/>
        </w:rPr>
        <w:t>2.</w:t>
      </w:r>
      <w:r>
        <w:t>赛题领取人必须由专人在赛项监督人员的监督下于考前 30 分钟内到保密室领取试卷，并核对好数量，查验试卷的密封是否完整，做好移交工作。</w:t>
      </w:r>
    </w:p>
    <w:p>
      <w:pPr>
        <w:pStyle w:val="3"/>
        <w:spacing w:before="163" w:line="360" w:lineRule="auto"/>
        <w:ind w:left="0" w:firstLineChars="200"/>
      </w:pPr>
      <w:r>
        <w:rPr>
          <w:rFonts w:hint="eastAsia"/>
        </w:rPr>
        <w:t>3.</w:t>
      </w:r>
      <w:r>
        <w:t>竞赛用的所有赛题、成绩评定过程材料等都要回收，并妥善保存在赛项承办院校。</w:t>
      </w:r>
    </w:p>
    <w:p>
      <w:pPr>
        <w:pStyle w:val="5"/>
        <w:spacing w:before="7"/>
        <w:ind w:left="0" w:right="-8"/>
      </w:pPr>
      <w:r>
        <w:t>（六）疫情防控</w:t>
      </w:r>
    </w:p>
    <w:p>
      <w:pPr>
        <w:pStyle w:val="3"/>
        <w:spacing w:before="163" w:line="360" w:lineRule="auto"/>
        <w:ind w:left="0" w:firstLineChars="200"/>
      </w:pPr>
      <w:r>
        <w:t>为切实推进与落实疫情防控常态化条件下省高职赛项组织工作，确保参赛师生生命安全与身体健康，比赛期间疫情防控要求如下</w:t>
      </w:r>
      <w:r>
        <w:rPr>
          <w:rFonts w:hint="eastAsia"/>
        </w:rPr>
        <w:t>。</w:t>
      </w:r>
    </w:p>
    <w:p>
      <w:pPr>
        <w:pStyle w:val="3"/>
        <w:spacing w:before="163" w:line="360" w:lineRule="auto"/>
        <w:ind w:left="0" w:firstLineChars="200"/>
      </w:pPr>
      <w:r>
        <w:rPr>
          <w:rFonts w:hint="eastAsia"/>
        </w:rPr>
        <w:t>1.</w:t>
      </w:r>
      <w:r>
        <w:t>承办院校</w:t>
      </w:r>
    </w:p>
    <w:p>
      <w:pPr>
        <w:pStyle w:val="3"/>
        <w:spacing w:before="163" w:line="360" w:lineRule="auto"/>
        <w:ind w:left="0" w:firstLineChars="200"/>
      </w:pPr>
      <w:r>
        <w:t>各赛项承办院校为疫情防控主体责任单位，科学落实属地疫情防控要求，成立相关组织机构，统一负责疫情防控组织工作。赛事组织过程中，要加强与当地疫情防控指导机构的沟通联系，制定好各赛项疫情防控实施方案，将防控要求落实到办赛全过程，并在大赛指南中明确。安排专人与各参赛院校对接，主动告知赛务安排、人员报到等具体要求。对参赛人员做好体温检测，健康码核查、提供必要防疫物资等相关疫情防控工作，确保竞赛顺利实施。</w:t>
      </w:r>
    </w:p>
    <w:p>
      <w:pPr>
        <w:pStyle w:val="3"/>
        <w:spacing w:before="163" w:line="360" w:lineRule="auto"/>
        <w:ind w:left="0" w:firstLineChars="200"/>
      </w:pPr>
      <w:r>
        <w:rPr>
          <w:rFonts w:hint="eastAsia"/>
        </w:rPr>
        <w:t>2.</w:t>
      </w:r>
      <w:r>
        <w:t>参赛院校</w:t>
      </w:r>
    </w:p>
    <w:p>
      <w:pPr>
        <w:pStyle w:val="3"/>
        <w:spacing w:before="163" w:line="360" w:lineRule="auto"/>
        <w:ind w:left="0" w:firstLineChars="200"/>
      </w:pPr>
      <w:r>
        <w:t>各参赛院校加强参赛人员统一管理，精简随行人员，除领队、选手和指导教师外，减少其他工作人员数量。安排专车点对点接送参赛人员，确保参赛选手安全抵离。</w:t>
      </w:r>
    </w:p>
    <w:p>
      <w:pPr>
        <w:pStyle w:val="3"/>
        <w:spacing w:before="163" w:line="360" w:lineRule="auto"/>
        <w:ind w:left="0" w:firstLineChars="200"/>
      </w:pPr>
      <w:r>
        <w:t>指定专人落实参赛人员的疫情防控准备工作，提前准备好参赛人员（含领队及指导教师等）相关防疫资料，报到现场须提交《参赛人员健康状况排查承诺书》和《个人健康状况承诺书》，提供健康通行码“绿码”和手机漫游地查询结果(通信大数据行程卡)，在测温正常下完成报到，入住承办院校指定酒店。比赛期间应注意做好个人防护，备足一次性医用口罩，避免在人员密集、通风不良的场所逗留。参赛人员须服从承办学校疫情防控检查，如果出现发热、乏力、干咳、呼吸困难等症状，请立即与承办院校疫情防控工作小组取得联系，视病情及时就医，确保竞赛安全举办。</w:t>
      </w:r>
    </w:p>
    <w:p>
      <w:pPr>
        <w:pStyle w:val="4"/>
        <w:spacing w:before="57"/>
        <w:ind w:left="0" w:right="-8"/>
      </w:pPr>
      <w:r>
        <w:t>十三、赛项安全</w:t>
      </w:r>
    </w:p>
    <w:p>
      <w:pPr>
        <w:pStyle w:val="3"/>
        <w:spacing w:before="163" w:line="360" w:lineRule="auto"/>
        <w:ind w:left="0" w:firstLineChars="200"/>
      </w:pPr>
      <w:r>
        <w:t>赛项安全是技能竞赛一切工作顺利开展的先决条件，是赛项筹备和运行工作必须考虑的核心问题。采取切实有效措施保证大赛期间参赛选手、指导教师、裁判员、工作人员及观众的人身安全。</w:t>
      </w:r>
    </w:p>
    <w:p>
      <w:pPr>
        <w:pStyle w:val="5"/>
        <w:spacing w:before="5"/>
        <w:ind w:left="0" w:right="-8"/>
      </w:pPr>
      <w:r>
        <w:t>（一）比赛环境</w:t>
      </w:r>
    </w:p>
    <w:p>
      <w:pPr>
        <w:pStyle w:val="3"/>
        <w:spacing w:before="163" w:line="360" w:lineRule="auto"/>
        <w:ind w:left="0" w:firstLineChars="200"/>
      </w:pPr>
      <w:r>
        <w:rPr>
          <w:rFonts w:hint="eastAsia"/>
        </w:rPr>
        <w:t>1.</w:t>
      </w:r>
      <w: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pStyle w:val="3"/>
        <w:spacing w:before="163" w:line="360" w:lineRule="auto"/>
        <w:ind w:left="0" w:firstLineChars="200"/>
      </w:pPr>
      <w:r>
        <w:rPr>
          <w:rFonts w:hint="eastAsia"/>
        </w:rPr>
        <w:t>2.</w:t>
      </w:r>
      <w:r>
        <w:t>赛场周围要设立警戒线，防止无关人员进入发生意外事件。比赛现场内应 参照相关职业岗位的要求为选手提供必要的劳动保护。在具有危险性的操作环节， 裁判员要严防选手出现错误操作。</w:t>
      </w:r>
    </w:p>
    <w:p>
      <w:pPr>
        <w:pStyle w:val="3"/>
        <w:spacing w:before="163" w:line="360" w:lineRule="auto"/>
        <w:ind w:left="0" w:firstLineChars="200"/>
      </w:pPr>
      <w:r>
        <w:rPr>
          <w:rFonts w:hint="eastAsia"/>
        </w:rPr>
        <w:t>3.承办单位应提供保证应急预案实施的条件。对于比赛内容涉及高空作业、可能有坠物、大用电量、易发生火灾等情况的赛项，必须明确制度和预案，并配备急救人员与设施。</w:t>
      </w:r>
    </w:p>
    <w:p>
      <w:pPr>
        <w:pStyle w:val="3"/>
        <w:spacing w:before="163" w:line="360" w:lineRule="auto"/>
        <w:ind w:left="0" w:firstLineChars="200"/>
      </w:pPr>
      <w:r>
        <w:rPr>
          <w:rFonts w:hint="eastAsia"/>
        </w:rPr>
        <w:t>4.承办单位制定开放赛场和体验区的人员疏导方案。赛场环境中存在人员密集、车流人流交错的区域，除了设置齐全的指示标志外，须增加引导人员，并开辟备用通道</w:t>
      </w:r>
      <w:r>
        <w:t>车流人流交错的区域，除了设置齐全的指示标志外，须增加引导人员，并开辟备用通道。</w:t>
      </w:r>
    </w:p>
    <w:p>
      <w:pPr>
        <w:pStyle w:val="3"/>
        <w:spacing w:before="163" w:line="360" w:lineRule="auto"/>
        <w:ind w:left="0" w:firstLineChars="200"/>
      </w:pPr>
      <w:r>
        <w:rPr>
          <w:rFonts w:hint="eastAsia"/>
        </w:rPr>
        <w:t>5.</w:t>
      </w:r>
      <w:r>
        <w:t>大赛期间，承办单位应在赛场管理的关键岗位增加力量并建立安全管理日志。</w:t>
      </w:r>
    </w:p>
    <w:p>
      <w:pPr>
        <w:pStyle w:val="3"/>
        <w:spacing w:before="163" w:line="360" w:lineRule="auto"/>
        <w:ind w:left="0" w:firstLineChars="200"/>
      </w:pPr>
      <w:r>
        <w:rPr>
          <w:rFonts w:hint="eastAsia"/>
        </w:rPr>
        <w:t>6.</w:t>
      </w:r>
      <w:r>
        <w:t>参赛选手进入工位、赛事裁判工作人员进入工作场所，严禁携带通讯、照相摄录设备，禁止携带记录用具。如确有需要，由赛场统一配置、统一管理。赛项可根据需要配置安检设备对进入赛场重要部位的人员进行安检。</w:t>
      </w:r>
    </w:p>
    <w:p>
      <w:pPr>
        <w:pStyle w:val="5"/>
        <w:spacing w:line="303" w:lineRule="exact"/>
        <w:ind w:left="0" w:right="-8"/>
      </w:pPr>
      <w:r>
        <w:t>（二）生活条件</w:t>
      </w:r>
    </w:p>
    <w:p>
      <w:pPr>
        <w:pStyle w:val="3"/>
        <w:spacing w:before="163" w:line="360" w:lineRule="auto"/>
        <w:ind w:left="0" w:firstLineChars="200"/>
      </w:pPr>
      <w:r>
        <w:rPr>
          <w:rFonts w:hint="eastAsia"/>
        </w:rPr>
        <w:t>1.</w:t>
      </w:r>
      <w:r>
        <w:t>比赛期间，统一安排参赛选手和指导教师食宿。承办单位须尊重少数民族的信仰及文化，根据国家相关的民族政策，安排好少数民族选手和教师的饮食起居。</w:t>
      </w:r>
    </w:p>
    <w:p>
      <w:pPr>
        <w:pStyle w:val="3"/>
        <w:spacing w:before="163" w:line="360" w:lineRule="auto"/>
        <w:ind w:left="0" w:firstLineChars="200"/>
      </w:pPr>
      <w:r>
        <w:rPr>
          <w:rFonts w:hint="eastAsia"/>
        </w:rPr>
        <w:t>2.</w:t>
      </w:r>
      <w:r>
        <w:t>比赛期间安排的住宿地应具有宾馆/住宿经营许可资质。以学校宿舍作为住宿地的，大赛期间的住宿、卫生、饮食安全等由提供宿舍的学校负责。</w:t>
      </w:r>
    </w:p>
    <w:p>
      <w:pPr>
        <w:pStyle w:val="3"/>
        <w:spacing w:before="163" w:line="360" w:lineRule="auto"/>
        <w:ind w:left="0" w:firstLineChars="200"/>
      </w:pPr>
      <w:r>
        <w:rPr>
          <w:rFonts w:hint="eastAsia"/>
        </w:rPr>
        <w:t>3.</w:t>
      </w:r>
      <w:r>
        <w:t>大赛期间承办单位须保障比赛期间选手、指导教师和裁判员、工作人员的交通安全。</w:t>
      </w:r>
    </w:p>
    <w:p>
      <w:pPr>
        <w:pStyle w:val="3"/>
        <w:spacing w:before="163" w:line="360" w:lineRule="auto"/>
        <w:ind w:left="0" w:firstLineChars="200"/>
      </w:pPr>
      <w:r>
        <w:rPr>
          <w:rFonts w:hint="eastAsia"/>
        </w:rPr>
        <w:t>4.</w:t>
      </w:r>
      <w:r>
        <w:t>各赛项的安全管理，除了可以采取必要的安全隔离措施外，应严格遵守国家相关法律法规，保护个人隐私和人身自由。</w:t>
      </w:r>
    </w:p>
    <w:p>
      <w:pPr>
        <w:pStyle w:val="5"/>
        <w:spacing w:before="7"/>
        <w:ind w:left="0" w:right="-8"/>
      </w:pPr>
      <w:r>
        <w:t>（三）参赛队责任</w:t>
      </w:r>
    </w:p>
    <w:p>
      <w:pPr>
        <w:pStyle w:val="3"/>
        <w:spacing w:before="163" w:line="360" w:lineRule="auto"/>
        <w:ind w:left="0" w:firstLineChars="200"/>
      </w:pPr>
      <w:r>
        <w:rPr>
          <w:rFonts w:hint="eastAsia"/>
        </w:rPr>
        <w:t>1.</w:t>
      </w:r>
      <w:r>
        <w:t>各学校组织参赛队时，须安排为参赛选手、领队、指导教师等人员购买大赛期间的人身意外伤害保险。</w:t>
      </w:r>
    </w:p>
    <w:p>
      <w:pPr>
        <w:pStyle w:val="3"/>
        <w:spacing w:before="163" w:line="360" w:lineRule="auto"/>
        <w:ind w:left="0" w:firstLineChars="200"/>
      </w:pPr>
      <w:r>
        <w:rPr>
          <w:rFonts w:hint="eastAsia"/>
        </w:rPr>
        <w:t>2.</w:t>
      </w:r>
      <w:r>
        <w:t>各学校参赛队组成后，须制定相关管理制度，并对所有选手、指导教师进行安全教育。</w:t>
      </w:r>
    </w:p>
    <w:p>
      <w:pPr>
        <w:pStyle w:val="3"/>
        <w:spacing w:before="163" w:line="360" w:lineRule="auto"/>
        <w:ind w:left="0" w:firstLineChars="200"/>
      </w:pPr>
      <w:r>
        <w:rPr>
          <w:rFonts w:hint="eastAsia"/>
        </w:rPr>
        <w:t>3.</w:t>
      </w:r>
      <w:r>
        <w:t>各参赛队伍须加强对参与比赛人员的安全管理，实现与赛场安全管理的对接。</w:t>
      </w:r>
    </w:p>
    <w:p>
      <w:pPr>
        <w:pStyle w:val="5"/>
        <w:spacing w:line="303" w:lineRule="exact"/>
        <w:ind w:left="0" w:right="-8"/>
      </w:pPr>
      <w:r>
        <w:t>（四）应急处理</w:t>
      </w:r>
    </w:p>
    <w:p>
      <w:pPr>
        <w:pStyle w:val="3"/>
        <w:spacing w:before="163" w:line="360" w:lineRule="auto"/>
        <w:ind w:left="0" w:firstLineChars="200"/>
      </w:pPr>
      <w:r>
        <w:t>比赛期间发生意外事故，发现者应第一时间报告赛项专家组长，同时采取措施避免事态扩大，立即启动预案予以解决并报告组委会。赛项出现重大安全问题可以停赛，应向组委会报告详细情况。</w:t>
      </w:r>
    </w:p>
    <w:p>
      <w:pPr>
        <w:pStyle w:val="5"/>
        <w:ind w:left="0" w:right="-8"/>
      </w:pPr>
      <w:r>
        <w:t>（五）处罚措施</w:t>
      </w:r>
    </w:p>
    <w:p>
      <w:pPr>
        <w:pStyle w:val="3"/>
        <w:spacing w:before="163" w:line="360" w:lineRule="auto"/>
        <w:ind w:left="0" w:firstLineChars="200"/>
      </w:pPr>
      <w:r>
        <w:rPr>
          <w:rFonts w:hint="eastAsia"/>
        </w:rPr>
        <w:t>1.</w:t>
      </w:r>
      <w:r>
        <w:t>因参赛队伍原因造成重大安全事故的，取消其获奖资格。</w:t>
      </w:r>
    </w:p>
    <w:p>
      <w:pPr>
        <w:pStyle w:val="3"/>
        <w:spacing w:before="163" w:line="360" w:lineRule="auto"/>
        <w:ind w:left="0" w:firstLineChars="200"/>
      </w:pPr>
      <w:r>
        <w:rPr>
          <w:rFonts w:hint="eastAsia"/>
        </w:rPr>
        <w:t>2.</w:t>
      </w:r>
      <w:r>
        <w:t>参赛队伍有发生重大安全事故隐患，经赛场工作人员提示、警告无效的，可取消其继续比赛的资格。</w:t>
      </w:r>
    </w:p>
    <w:p>
      <w:pPr>
        <w:pStyle w:val="3"/>
        <w:spacing w:before="163" w:line="360" w:lineRule="auto"/>
        <w:ind w:left="0" w:firstLineChars="200"/>
      </w:pPr>
      <w:r>
        <w:rPr>
          <w:rFonts w:hint="eastAsia"/>
        </w:rPr>
        <w:t>3.</w:t>
      </w:r>
      <w:r>
        <w:t>赛场工作人员违规，按照相应的制度追究责任。情节恶劣并造成重大安全事故的，由司法机关追究相应法律责任。</w:t>
      </w:r>
    </w:p>
    <w:p>
      <w:pPr>
        <w:pStyle w:val="4"/>
        <w:spacing w:before="58"/>
        <w:ind w:left="0" w:right="-8"/>
      </w:pPr>
      <w:r>
        <w:t>十四、竞赛须知</w:t>
      </w:r>
    </w:p>
    <w:p>
      <w:pPr>
        <w:pStyle w:val="5"/>
        <w:spacing w:before="214"/>
        <w:ind w:left="0" w:right="-8"/>
      </w:pPr>
      <w:r>
        <w:t>（一）参赛队须知</w:t>
      </w:r>
    </w:p>
    <w:p>
      <w:pPr>
        <w:pStyle w:val="3"/>
        <w:spacing w:before="163" w:line="360" w:lineRule="auto"/>
        <w:ind w:left="0" w:firstLineChars="200"/>
      </w:pPr>
      <w:r>
        <w:rPr>
          <w:rFonts w:hint="eastAsia"/>
        </w:rPr>
        <w:t>1.</w:t>
      </w:r>
      <w:r>
        <w:t>参赛队名称统一使用</w:t>
      </w:r>
      <w:r>
        <w:rPr>
          <w:rFonts w:hint="eastAsia"/>
          <w:lang w:val="en-US" w:eastAsia="zh-CN"/>
        </w:rPr>
        <w:t>学校名称+参赛</w:t>
      </w:r>
      <w:r>
        <w:t>队</w:t>
      </w:r>
      <w:r>
        <w:rPr>
          <w:rFonts w:hint="eastAsia"/>
          <w:lang w:val="en-US" w:eastAsia="zh-CN"/>
        </w:rPr>
        <w:t>名称（由各参赛队自行取名）+参赛序号（由大赛组委会分配）</w:t>
      </w:r>
      <w:r>
        <w:t>。</w:t>
      </w:r>
    </w:p>
    <w:p>
      <w:pPr>
        <w:pStyle w:val="3"/>
        <w:spacing w:before="163" w:line="360" w:lineRule="auto"/>
        <w:ind w:left="0" w:firstLineChars="200"/>
      </w:pPr>
      <w:r>
        <w:rPr>
          <w:rFonts w:hint="eastAsia"/>
        </w:rPr>
        <w:t>2.</w:t>
      </w:r>
      <w:r>
        <w:t>参赛队员在报名获得审核确认后，原则上不再更换，如筹备过程中，选手因故不能参赛，所在学校需出具书面说明并按相关规定补充人员并接受审核； 竞赛开始后，参赛队不得更换参赛队员，允许队员缺员比赛。</w:t>
      </w:r>
    </w:p>
    <w:p>
      <w:pPr>
        <w:pStyle w:val="3"/>
        <w:spacing w:before="163" w:line="360" w:lineRule="auto"/>
        <w:ind w:left="0" w:firstLineChars="200"/>
      </w:pPr>
      <w:r>
        <w:rPr>
          <w:rFonts w:hint="eastAsia"/>
        </w:rPr>
        <w:t>3.</w:t>
      </w:r>
      <w:r>
        <w:t>参赛队按照大赛赛程安排凭大赛组委会颁发的参赛证和有效身份证件参加比赛及相关活动。</w:t>
      </w:r>
    </w:p>
    <w:p>
      <w:pPr>
        <w:pStyle w:val="3"/>
        <w:spacing w:before="163" w:line="360" w:lineRule="auto"/>
        <w:ind w:left="0" w:firstLineChars="200"/>
      </w:pPr>
      <w:r>
        <w:rPr>
          <w:rFonts w:hint="eastAsia"/>
        </w:rPr>
        <w:t>4.</w:t>
      </w:r>
      <w:r>
        <w:t>各参赛队统一安排参加比赛前熟悉场地环境的活动。</w:t>
      </w:r>
    </w:p>
    <w:p>
      <w:pPr>
        <w:pStyle w:val="3"/>
        <w:spacing w:before="163" w:line="360" w:lineRule="auto"/>
        <w:ind w:left="0" w:firstLineChars="200"/>
      </w:pPr>
      <w:r>
        <w:rPr>
          <w:rFonts w:hint="eastAsia"/>
        </w:rPr>
        <w:t>5.</w:t>
      </w:r>
      <w:r>
        <w:t>各参赛队准时参加赛前领队会，领队会上举行抽签仪式抽取场次号。</w:t>
      </w:r>
    </w:p>
    <w:p>
      <w:pPr>
        <w:pStyle w:val="3"/>
        <w:spacing w:before="163" w:line="360" w:lineRule="auto"/>
        <w:ind w:left="0" w:firstLineChars="200"/>
      </w:pPr>
      <w:r>
        <w:rPr>
          <w:rFonts w:hint="eastAsia"/>
        </w:rPr>
        <w:t>6.</w:t>
      </w:r>
      <w:r>
        <w:t>各参赛队要注意饮食卫生，防止食物中毒。</w:t>
      </w:r>
    </w:p>
    <w:p>
      <w:pPr>
        <w:pStyle w:val="3"/>
        <w:spacing w:before="163" w:line="360" w:lineRule="auto"/>
        <w:ind w:left="0" w:firstLineChars="200"/>
      </w:pPr>
      <w:r>
        <w:rPr>
          <w:rFonts w:hint="eastAsia"/>
        </w:rPr>
        <w:t>7.</w:t>
      </w:r>
      <w:r>
        <w:t>各参赛队要发扬良好道德风尚，听从指挥，服从裁判，不弄虚作假。</w:t>
      </w:r>
    </w:p>
    <w:p>
      <w:pPr>
        <w:pStyle w:val="5"/>
        <w:spacing w:before="214"/>
        <w:ind w:left="0" w:right="-8"/>
      </w:pPr>
      <w:r>
        <w:t>（二）指导老师须知</w:t>
      </w:r>
    </w:p>
    <w:p>
      <w:pPr>
        <w:pStyle w:val="3"/>
        <w:spacing w:before="163" w:line="360" w:lineRule="auto"/>
        <w:ind w:left="0" w:firstLineChars="200"/>
      </w:pPr>
      <w:r>
        <w:rPr>
          <w:rFonts w:hint="eastAsia"/>
        </w:rPr>
        <w:t>1.</w:t>
      </w:r>
      <w:r>
        <w:t>各指导老师要发扬良好道德风尚，听从指挥，服从裁判，不弄虚作假。指导老师经报名、审核后确定，一经确定不得更换。</w:t>
      </w:r>
    </w:p>
    <w:p>
      <w:pPr>
        <w:pStyle w:val="3"/>
        <w:spacing w:before="163" w:line="360" w:lineRule="auto"/>
        <w:ind w:left="0" w:firstLineChars="200"/>
      </w:pPr>
      <w:r>
        <w:rPr>
          <w:rFonts w:hint="eastAsia"/>
        </w:rPr>
        <w:t>2.</w:t>
      </w:r>
      <w:r>
        <w:t>对申诉的仲裁结果，领队和指导老师应带头服从和执行，还应说服选手服从和执行。</w:t>
      </w:r>
    </w:p>
    <w:p>
      <w:pPr>
        <w:pStyle w:val="3"/>
        <w:spacing w:before="163" w:line="360" w:lineRule="auto"/>
        <w:ind w:left="0" w:firstLineChars="200"/>
      </w:pPr>
      <w:r>
        <w:rPr>
          <w:rFonts w:hint="eastAsia"/>
        </w:rPr>
        <w:t>3.</w:t>
      </w:r>
      <w:r>
        <w:t>指导老师应认真研究和掌握本赛项比赛的技术规则和赛场要求，指导选手做好赛前的一切准备工作。</w:t>
      </w:r>
    </w:p>
    <w:p>
      <w:pPr>
        <w:pStyle w:val="3"/>
        <w:spacing w:before="163" w:line="360" w:lineRule="auto"/>
        <w:ind w:left="0" w:firstLineChars="200"/>
      </w:pPr>
      <w:r>
        <w:rPr>
          <w:rFonts w:hint="eastAsia"/>
        </w:rPr>
        <w:t>4.</w:t>
      </w:r>
      <w:r>
        <w:t>领队和指导老师应在赛后做好技术总结和工作总结。</w:t>
      </w:r>
    </w:p>
    <w:p>
      <w:pPr>
        <w:pStyle w:val="5"/>
        <w:spacing w:before="158"/>
        <w:ind w:left="0" w:right="-8"/>
      </w:pPr>
      <w:r>
        <w:t>（三）参赛选手须知</w:t>
      </w:r>
    </w:p>
    <w:p>
      <w:pPr>
        <w:pStyle w:val="3"/>
        <w:spacing w:before="163" w:line="360" w:lineRule="auto"/>
        <w:ind w:left="0" w:firstLineChars="200"/>
      </w:pPr>
      <w:r>
        <w:rPr>
          <w:rFonts w:hint="eastAsia"/>
        </w:rPr>
        <w:t>1.</w:t>
      </w:r>
      <w:r>
        <w:t>参赛选手应遵守比赛规则，尊重裁判和赛场工作人员，自觉遵守赛场秩序，服从裁判的管理。</w:t>
      </w:r>
    </w:p>
    <w:p>
      <w:pPr>
        <w:pStyle w:val="3"/>
        <w:spacing w:before="163" w:line="360" w:lineRule="auto"/>
        <w:ind w:left="0" w:firstLineChars="200"/>
      </w:pPr>
      <w:r>
        <w:rPr>
          <w:rFonts w:hint="eastAsia"/>
        </w:rPr>
        <w:t>2.</w:t>
      </w:r>
      <w:r>
        <w:t>参赛选手应佩戴参赛证，带齐身份证、注册的学生证。在赛场的着装， 应符合职业要求。在赛场的表现，应体现自己良好的职业习惯和职业素养。</w:t>
      </w:r>
    </w:p>
    <w:p>
      <w:pPr>
        <w:pStyle w:val="3"/>
        <w:spacing w:before="163" w:line="360" w:lineRule="auto"/>
        <w:ind w:left="0" w:firstLineChars="200"/>
      </w:pPr>
      <w:r>
        <w:rPr>
          <w:rFonts w:hint="eastAsia"/>
        </w:rPr>
        <w:t>3.</w:t>
      </w:r>
      <w:r>
        <w:t>进入赛场前须将手机等通讯工具交赛场相关人员保管，不能带入赛场。未经检验的工具、电子储存器件和其他不允许带入赛场物品，一律不能进入赛场。</w:t>
      </w:r>
    </w:p>
    <w:p>
      <w:pPr>
        <w:pStyle w:val="3"/>
        <w:spacing w:before="163" w:line="360" w:lineRule="auto"/>
        <w:ind w:left="0" w:firstLineChars="200"/>
      </w:pPr>
      <w:r>
        <w:rPr>
          <w:rFonts w:hint="eastAsia"/>
        </w:rPr>
        <w:t>4.</w:t>
      </w:r>
      <w:r>
        <w:t>比赛过程中不准互相交谈，不得大声喧哗；不得有影响其他选手比赛的行为，不准有旁窥、夹带等作弊行为。</w:t>
      </w:r>
    </w:p>
    <w:p>
      <w:pPr>
        <w:pStyle w:val="3"/>
        <w:spacing w:before="163" w:line="360" w:lineRule="auto"/>
        <w:ind w:left="0" w:firstLineChars="200"/>
      </w:pPr>
      <w:r>
        <w:rPr>
          <w:rFonts w:hint="eastAsia"/>
        </w:rPr>
        <w:t>5.</w:t>
      </w:r>
      <w:r>
        <w:t>参赛选手在比赛的过程中，应遵守安全操作规程，文明的操作。通电调试设备时，应经现场裁判许可，在技术人员监护下进行。</w:t>
      </w:r>
    </w:p>
    <w:p>
      <w:pPr>
        <w:pStyle w:val="3"/>
        <w:spacing w:before="163" w:line="360" w:lineRule="auto"/>
        <w:ind w:left="0" w:firstLineChars="200"/>
      </w:pPr>
      <w:r>
        <w:rPr>
          <w:rFonts w:hint="eastAsia"/>
        </w:rPr>
        <w:t>6.</w:t>
      </w:r>
      <w:r>
        <w:t>比赛过程中需要去洗手间，应报告现场裁判，由裁判或赛场工作人员陪同离开赛场。</w:t>
      </w:r>
    </w:p>
    <w:p>
      <w:pPr>
        <w:pStyle w:val="3"/>
        <w:spacing w:before="163" w:line="360" w:lineRule="auto"/>
        <w:ind w:left="0" w:firstLineChars="200"/>
      </w:pPr>
      <w:r>
        <w:rPr>
          <w:rFonts w:hint="eastAsia"/>
        </w:rPr>
        <w:t>7.</w:t>
      </w:r>
      <w:r>
        <w:t>裁判长发出停止比赛的指令，选手（包括需要补时的选手）应立即停止操作进入通道，在现场裁判的指挥下离开赛场到达指定的区域等候评分。需要补时的选手在离场后，由现场裁判召唤进场补时。</w:t>
      </w:r>
    </w:p>
    <w:p>
      <w:pPr>
        <w:pStyle w:val="3"/>
        <w:spacing w:before="163" w:line="360" w:lineRule="auto"/>
        <w:ind w:left="0" w:firstLineChars="200"/>
      </w:pPr>
      <w:r>
        <w:rPr>
          <w:rFonts w:hint="eastAsia"/>
        </w:rPr>
        <w:t>8.</w:t>
      </w:r>
      <w:r>
        <w:t>如对裁判员的执裁有异议，可在 2 小时内由领队向赛项仲裁组以书面形式提出申述。</w:t>
      </w:r>
    </w:p>
    <w:p>
      <w:pPr>
        <w:pStyle w:val="3"/>
        <w:spacing w:before="163" w:line="360" w:lineRule="auto"/>
        <w:ind w:left="0" w:firstLineChars="200"/>
      </w:pPr>
      <w:r>
        <w:rPr>
          <w:rFonts w:hint="eastAsia"/>
        </w:rPr>
        <w:t>9.</w:t>
      </w:r>
      <w:r>
        <w:t>遇突发事件，立即报告裁判和赛场工作人员，按赛场裁判和工作人员的指令行动。</w:t>
      </w:r>
    </w:p>
    <w:p>
      <w:pPr>
        <w:pStyle w:val="5"/>
        <w:spacing w:line="303" w:lineRule="exact"/>
        <w:ind w:left="0" w:right="-8"/>
      </w:pPr>
      <w:r>
        <w:t>（四）工作人员须知</w:t>
      </w:r>
    </w:p>
    <w:p>
      <w:pPr>
        <w:pStyle w:val="3"/>
        <w:spacing w:before="163" w:line="360" w:lineRule="auto"/>
        <w:ind w:left="0" w:firstLineChars="200"/>
      </w:pPr>
      <w:r>
        <w:rPr>
          <w:rFonts w:hint="eastAsia"/>
        </w:rPr>
        <w:t>1.</w:t>
      </w:r>
      <w:r>
        <w:t>工作人员必须服从赛项组委会统一指挥，佩戴工作人员标识，认真履行职责，做好服务赛场、服务选手的工作。</w:t>
      </w:r>
    </w:p>
    <w:p>
      <w:pPr>
        <w:pStyle w:val="3"/>
        <w:spacing w:before="163" w:line="360" w:lineRule="auto"/>
        <w:ind w:left="0" w:firstLineChars="200"/>
      </w:pPr>
      <w:r>
        <w:rPr>
          <w:rFonts w:hint="eastAsia"/>
        </w:rPr>
        <w:t>2.</w:t>
      </w:r>
      <w:r>
        <w:t>工作人员按照分工准时上岗，不得擅自离岗，应认真履行各自的工作职责，保证竞赛工作的顺利进行。</w:t>
      </w:r>
    </w:p>
    <w:p>
      <w:pPr>
        <w:pStyle w:val="3"/>
        <w:spacing w:before="163" w:line="360" w:lineRule="auto"/>
        <w:ind w:left="0" w:firstLineChars="200"/>
      </w:pPr>
      <w:r>
        <w:rPr>
          <w:rFonts w:hint="eastAsia"/>
        </w:rPr>
        <w:t>3.</w:t>
      </w:r>
      <w:r>
        <w:t>工作人员应在规定的区域内工作，未经许可，不得擅自进入竞赛场地。如需进场，需经过裁判长同意，核准证件，有裁判跟随入场。</w:t>
      </w:r>
    </w:p>
    <w:p>
      <w:pPr>
        <w:pStyle w:val="3"/>
        <w:spacing w:before="163" w:line="360" w:lineRule="auto"/>
        <w:ind w:left="0" w:firstLineChars="200"/>
      </w:pPr>
      <w:r>
        <w:rPr>
          <w:rFonts w:hint="eastAsia"/>
        </w:rPr>
        <w:t>4.</w:t>
      </w:r>
      <w:r>
        <w:t>如遇突发事件，须及时向裁判长报告，同时做好疏导工作，避免重大事故发生，确保竞赛圆满成功。</w:t>
      </w:r>
    </w:p>
    <w:p>
      <w:pPr>
        <w:pStyle w:val="3"/>
        <w:spacing w:before="163" w:line="360" w:lineRule="auto"/>
        <w:ind w:left="0" w:firstLineChars="200"/>
      </w:pPr>
      <w:r>
        <w:rPr>
          <w:rFonts w:hint="eastAsia"/>
        </w:rPr>
        <w:t>5.</w:t>
      </w:r>
      <w: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pStyle w:val="5"/>
        <w:spacing w:line="303" w:lineRule="exact"/>
        <w:ind w:left="0" w:right="-8"/>
      </w:pPr>
      <w:r>
        <w:t>（五）裁判员须知</w:t>
      </w:r>
    </w:p>
    <w:p>
      <w:pPr>
        <w:pStyle w:val="3"/>
        <w:spacing w:before="163" w:line="360" w:lineRule="auto"/>
        <w:ind w:left="0" w:firstLineChars="200"/>
      </w:pPr>
      <w:r>
        <w:rPr>
          <w:rFonts w:hint="eastAsia"/>
        </w:rPr>
        <w:t>1.</w:t>
      </w:r>
      <w:r>
        <w:t>裁判员执裁前应参加培训，了解比赛任务及其要求、考核的知识与技能，认真学习评分标准，理解评分表各评价内容和标准。不参加培训的裁判员，取消执裁资格。</w:t>
      </w:r>
    </w:p>
    <w:p>
      <w:pPr>
        <w:pStyle w:val="3"/>
        <w:spacing w:before="163" w:line="360" w:lineRule="auto"/>
        <w:ind w:left="0" w:firstLineChars="200"/>
      </w:pPr>
      <w:r>
        <w:rPr>
          <w:rFonts w:hint="eastAsia"/>
        </w:rPr>
        <w:t>2.</w:t>
      </w:r>
      <w:r>
        <w:t>裁判员执裁期间，统一佩戴裁判员标识，举止文明礼貌，接受参赛人员的监督。</w:t>
      </w:r>
    </w:p>
    <w:p>
      <w:pPr>
        <w:pStyle w:val="3"/>
        <w:spacing w:before="163" w:line="360" w:lineRule="auto"/>
        <w:ind w:left="0" w:firstLineChars="200"/>
      </w:pPr>
      <w:r>
        <w:rPr>
          <w:rFonts w:hint="eastAsia"/>
        </w:rPr>
        <w:t>3.</w:t>
      </w:r>
      <w:r>
        <w:t>遵守执裁纪律，履行裁判职责，执行竞赛规则，信守裁判承诺书的各项承诺。服从赛项专家组和裁判长的领导。按照分工开展工作，始终坚守工作岗位， 不得擅自离岗。</w:t>
      </w:r>
    </w:p>
    <w:p>
      <w:pPr>
        <w:pStyle w:val="3"/>
        <w:spacing w:before="163" w:line="360" w:lineRule="auto"/>
        <w:ind w:left="0" w:firstLineChars="200"/>
      </w:pPr>
      <w:r>
        <w:rPr>
          <w:rFonts w:hint="eastAsia"/>
        </w:rPr>
        <w:t>4.</w:t>
      </w:r>
      <w:r>
        <w:t>裁判员有维护赛场秩序、执行赛场纪律的责任，也有保证参赛选手安全的责任。时刻注意参赛选手操作安全的问题，制止违反安全操作的行为，防止安全事故的出现。</w:t>
      </w:r>
    </w:p>
    <w:p>
      <w:pPr>
        <w:pStyle w:val="3"/>
        <w:spacing w:before="163" w:line="360" w:lineRule="auto"/>
        <w:ind w:left="0" w:firstLineChars="200"/>
      </w:pPr>
      <w:r>
        <w:rPr>
          <w:rFonts w:hint="eastAsia"/>
        </w:rPr>
        <w:t>5.</w:t>
      </w:r>
      <w:r>
        <w:t>裁判员不得有任何影响参赛选手比赛的行为，不得向参赛选手暗示或解答与竞赛有关的问题，不得指导、帮助选手完成比赛任务。公平公正的对待每一位参赛选手，不能有亲近与疏远、热情与冷淡差别。</w:t>
      </w:r>
    </w:p>
    <w:p>
      <w:pPr>
        <w:pStyle w:val="3"/>
        <w:spacing w:before="163" w:line="360" w:lineRule="auto"/>
        <w:ind w:left="0" w:firstLineChars="200"/>
      </w:pPr>
      <w:r>
        <w:rPr>
          <w:rFonts w:hint="eastAsia"/>
        </w:rPr>
        <w:t>6.</w:t>
      </w:r>
      <w:r>
        <w:t>选手有检查设备的要求时应予以满足。对更换的设备要与赛场技术人员一道进行检测，判断选手更换的设备的情况；检查设备或更换设备应在赛场记录表上记录并要求参赛选手签工位号确认。</w:t>
      </w:r>
    </w:p>
    <w:p>
      <w:pPr>
        <w:pStyle w:val="3"/>
        <w:spacing w:before="163" w:line="360" w:lineRule="auto"/>
        <w:ind w:left="0" w:firstLineChars="200"/>
      </w:pPr>
      <w:r>
        <w:rPr>
          <w:rFonts w:hint="eastAsia"/>
        </w:rPr>
        <w:t>7.</w:t>
      </w:r>
      <w:r>
        <w:t>赛场中选手出现的所有问题如：违反赛场纪律、违反安全操作规程、提前离开赛场等，都应在赛场记录表上记录，并要求学生签工位号确认。</w:t>
      </w:r>
    </w:p>
    <w:p>
      <w:pPr>
        <w:pStyle w:val="3"/>
        <w:spacing w:before="163" w:line="360" w:lineRule="auto"/>
        <w:ind w:left="0" w:firstLineChars="200"/>
      </w:pPr>
      <w:r>
        <w:rPr>
          <w:rFonts w:hint="eastAsia"/>
        </w:rPr>
        <w:t>8.</w:t>
      </w:r>
      <w:r>
        <w:t>严格执行竞赛项目评分标准，做到公平、公正、真实、准确，杜绝随意打分；对评分表的理解和宽严尺度把握有分歧时，请示裁判长解决。严禁利用工作之便，弄虚作假、徇私舞弊。</w:t>
      </w:r>
    </w:p>
    <w:p>
      <w:pPr>
        <w:pStyle w:val="3"/>
        <w:spacing w:before="163" w:line="360" w:lineRule="auto"/>
        <w:ind w:left="0" w:firstLineChars="200"/>
      </w:pPr>
      <w:r>
        <w:rPr>
          <w:rFonts w:hint="eastAsia"/>
        </w:rPr>
        <w:t>9.</w:t>
      </w:r>
      <w:r>
        <w:t>竞赛期间，因裁判人员工作不负责任，造成竞赛程序无法继续进行或评判结果不真实的情况，由赛项组委会视情节轻重，给予通报批评或停止裁判资格， 并通知其所在单位做出相应处理。</w:t>
      </w:r>
    </w:p>
    <w:p>
      <w:pPr>
        <w:pStyle w:val="4"/>
        <w:spacing w:before="56"/>
        <w:ind w:left="0" w:right="-8"/>
      </w:pPr>
      <w:r>
        <w:t>十五、申诉与仲裁</w:t>
      </w:r>
    </w:p>
    <w:p>
      <w:pPr>
        <w:pStyle w:val="3"/>
        <w:spacing w:before="163" w:line="360" w:lineRule="auto"/>
        <w:ind w:left="0" w:firstLineChars="200"/>
      </w:pPr>
      <w:r>
        <w:t>（一）各参赛队对不符合赛项规程规定的设备、工具、材料、计算机软硬件、竞赛执裁、赛场管理及工作人员的不规范行为等，可向赛项仲裁组提出申诉。</w:t>
      </w:r>
    </w:p>
    <w:p>
      <w:pPr>
        <w:pStyle w:val="3"/>
        <w:spacing w:before="163" w:line="360" w:lineRule="auto"/>
        <w:ind w:left="0" w:firstLineChars="200"/>
      </w:pPr>
      <w:r>
        <w:t>（二）申诉主体为参赛队</w:t>
      </w:r>
      <w:r>
        <w:rPr>
          <w:rFonts w:hint="eastAsia"/>
        </w:rPr>
        <w:t>指导教师</w:t>
      </w:r>
      <w:r>
        <w:t>。</w:t>
      </w:r>
    </w:p>
    <w:p>
      <w:pPr>
        <w:pStyle w:val="3"/>
        <w:spacing w:before="163" w:line="360" w:lineRule="auto"/>
        <w:ind w:left="0" w:firstLineChars="200"/>
      </w:pPr>
      <w:r>
        <w:t>（三）申诉启动时，参赛队以该队</w:t>
      </w:r>
      <w:r>
        <w:rPr>
          <w:rFonts w:hint="eastAsia"/>
        </w:rPr>
        <w:t>指导教师</w:t>
      </w:r>
      <w:r>
        <w:t>签字同意的书面报告的形式递交赛项仲裁组。报告应对申诉事件的现象、发生时间、涉及人员、申诉依据等进行充分、实事求是的叙述。非书面申诉不予受理。</w:t>
      </w:r>
    </w:p>
    <w:p>
      <w:pPr>
        <w:pStyle w:val="3"/>
        <w:spacing w:before="163" w:line="360" w:lineRule="auto"/>
        <w:ind w:left="0" w:firstLineChars="200"/>
      </w:pPr>
      <w:r>
        <w:t>（四）提出申诉应在赛项比赛结束后 2 小时内提出。超过 2 小时不予受理。</w:t>
      </w:r>
    </w:p>
    <w:p>
      <w:pPr>
        <w:pStyle w:val="3"/>
        <w:spacing w:before="163" w:line="360" w:lineRule="auto"/>
        <w:ind w:left="0" w:firstLineChars="200"/>
      </w:pPr>
      <w:r>
        <w:t>（五）赛项仲裁组在接到申诉报告后的 2 小时内组织复议，并及时将复议结果以书面形式告知申诉方。申诉方对复议结果仍有异议，可由领队向大赛仲裁工作组提出申诉。大赛仲裁工作组的仲裁结果为最终结果。</w:t>
      </w:r>
    </w:p>
    <w:p>
      <w:pPr>
        <w:pStyle w:val="3"/>
        <w:spacing w:before="163" w:line="360" w:lineRule="auto"/>
        <w:ind w:left="0" w:firstLineChars="200"/>
      </w:pPr>
      <w:r>
        <w:t>（六）申诉方不得以任何理由拒绝接收仲裁结果；不得以任何理由采取过激行为扰乱赛场秩序。仲裁结果由申诉人签收，不能代收；如在约定时间和地点申诉人离开，视为自行放弃申诉。</w:t>
      </w:r>
    </w:p>
    <w:p>
      <w:pPr>
        <w:pStyle w:val="3"/>
        <w:spacing w:before="163" w:line="360" w:lineRule="auto"/>
        <w:ind w:left="0" w:firstLineChars="200"/>
      </w:pPr>
      <w:r>
        <w:t>（七）申诉方可随时提出放弃申诉。</w:t>
      </w:r>
    </w:p>
    <w:p/>
    <w:p>
      <w:pPr>
        <w:pStyle w:val="4"/>
        <w:spacing w:before="214"/>
        <w:ind w:left="0" w:right="-8"/>
      </w:pPr>
      <w:r>
        <w:t>十六、竞赛观摩</w:t>
      </w:r>
    </w:p>
    <w:p>
      <w:pPr>
        <w:pStyle w:val="3"/>
        <w:spacing w:before="163" w:line="360" w:lineRule="auto"/>
        <w:ind w:left="0" w:firstLineChars="200"/>
      </w:pPr>
      <w:r>
        <w:t>本赛项将设计观摩区，使用大屏幕实时转播现场实况。</w:t>
      </w:r>
    </w:p>
    <w:p>
      <w:pPr>
        <w:pStyle w:val="3"/>
        <w:spacing w:before="163" w:line="360" w:lineRule="auto"/>
        <w:ind w:left="0" w:firstLineChars="200"/>
      </w:pPr>
      <w:r>
        <w:t>竞赛环境依据竞赛需求和职业特点设计，在竞赛不被干扰的前提下安全开放部分赛场。现场观摩应遵守如下纪律：</w:t>
      </w:r>
    </w:p>
    <w:p>
      <w:pPr>
        <w:pStyle w:val="3"/>
        <w:spacing w:before="163" w:line="360" w:lineRule="auto"/>
        <w:ind w:left="0" w:firstLineChars="200"/>
      </w:pPr>
      <w:r>
        <w:rPr>
          <w:rFonts w:hint="eastAsia"/>
        </w:rPr>
        <w:t>1.</w:t>
      </w:r>
      <w:r>
        <w:t>观摩人员需由赛项执委会批准，佩戴观摩证件在工作人员带领下沿指定路线、在指定区域内到现场观赛。</w:t>
      </w:r>
    </w:p>
    <w:p>
      <w:pPr>
        <w:pStyle w:val="3"/>
        <w:spacing w:before="163" w:line="360" w:lineRule="auto"/>
        <w:ind w:left="0" w:firstLineChars="200"/>
      </w:pPr>
      <w:r>
        <w:rPr>
          <w:rFonts w:hint="eastAsia"/>
        </w:rPr>
        <w:t>2.</w:t>
      </w:r>
      <w:r>
        <w:t>文明观赛，不得大声喧哗，服从赛场工作人员的指挥，杜绝各种违反赛场秩序的不文明行为。</w:t>
      </w:r>
    </w:p>
    <w:p>
      <w:pPr>
        <w:pStyle w:val="3"/>
        <w:spacing w:before="163" w:line="360" w:lineRule="auto"/>
        <w:ind w:left="0" w:firstLineChars="200"/>
      </w:pPr>
      <w:r>
        <w:rPr>
          <w:rFonts w:hint="eastAsia"/>
        </w:rPr>
        <w:t>3.</w:t>
      </w:r>
      <w:r>
        <w:t>观摩人员不得同参赛选手、裁判交流，不得传递信息，不得采录竞赛现场数据资料，不得影响比赛的正常进行。</w:t>
      </w:r>
    </w:p>
    <w:p>
      <w:pPr>
        <w:pStyle w:val="3"/>
        <w:spacing w:before="163" w:line="360" w:lineRule="auto"/>
        <w:ind w:left="0" w:firstLineChars="200"/>
      </w:pPr>
      <w:r>
        <w:rPr>
          <w:rFonts w:hint="eastAsia"/>
        </w:rPr>
        <w:t>4.</w:t>
      </w:r>
      <w:r>
        <w:t>对于各种违反赛场秩序的不文明行为，工作人员有权予以提醒、制止。</w:t>
      </w:r>
    </w:p>
    <w:p>
      <w:pPr>
        <w:pStyle w:val="4"/>
        <w:spacing w:before="200"/>
        <w:ind w:left="0" w:right="-8"/>
      </w:pPr>
      <w:r>
        <w:t>十七、竞赛直播</w:t>
      </w:r>
    </w:p>
    <w:p>
      <w:pPr>
        <w:pStyle w:val="3"/>
        <w:spacing w:before="163" w:line="360" w:lineRule="auto"/>
        <w:ind w:left="0" w:firstLineChars="200"/>
      </w:pPr>
      <w:r>
        <w:t>本赛项竞赛时组织专人进行摄像，记录比赛全过程。竞赛时采用全过程录像与同步大屏直播。赛后邀请媒体采访优秀选手、优秀指导教师、裁判专家或企业人士，并留档作为赛事成果之一。</w:t>
      </w:r>
    </w:p>
    <w:p>
      <w:pPr>
        <w:pStyle w:val="4"/>
        <w:ind w:left="0" w:right="-8"/>
      </w:pPr>
      <w:r>
        <w:t>十八、其他</w:t>
      </w:r>
    </w:p>
    <w:p>
      <w:pPr>
        <w:pStyle w:val="3"/>
        <w:spacing w:before="163" w:line="360" w:lineRule="auto"/>
        <w:ind w:left="0" w:firstLine="0" w:firstLineChars="0"/>
      </w:pPr>
      <w:r>
        <w:rPr>
          <w:rFonts w:hint="eastAsia"/>
        </w:rPr>
        <w:t>1.</w:t>
      </w:r>
      <w:r>
        <w:t>参赛选手及相关工作人员，由赛项承办院校赛统一安排食宿，费用自理。</w:t>
      </w:r>
    </w:p>
    <w:p>
      <w:pPr>
        <w:pStyle w:val="3"/>
        <w:spacing w:before="163" w:line="360" w:lineRule="auto"/>
        <w:ind w:left="0" w:firstLine="0" w:firstLineChars="0"/>
        <w:rPr>
          <w:sz w:val="24"/>
          <w:szCs w:val="24"/>
        </w:rPr>
      </w:pPr>
      <w:r>
        <w:rPr>
          <w:rFonts w:hint="eastAsia"/>
        </w:rPr>
        <w:t>2.</w:t>
      </w:r>
      <w:r>
        <w:t>本</w:t>
      </w:r>
      <w:r>
        <w:rPr>
          <w:rFonts w:hint="eastAsia"/>
        </w:rPr>
        <w:t>赛程</w:t>
      </w:r>
      <w:r>
        <w:t>最终解释权归</w:t>
      </w:r>
      <w:r>
        <w:rPr>
          <w:highlight w:val="none"/>
        </w:rPr>
        <w:t>大赛组委</w:t>
      </w:r>
      <w:r>
        <w:rPr>
          <w:rFonts w:hint="eastAsia"/>
          <w:highlight w:val="none"/>
          <w:lang w:eastAsia="zh-CN"/>
        </w:rPr>
        <w:t>会</w:t>
      </w:r>
      <w:r>
        <w:rPr>
          <w:rFonts w:hint="eastAsia"/>
        </w:rPr>
        <w:t>。</w:t>
      </w:r>
    </w:p>
    <w:p>
      <w:pPr>
        <w:pStyle w:val="16"/>
        <w:keepNext/>
        <w:tabs>
          <w:tab w:val="left" w:pos="220"/>
        </w:tabs>
        <w:spacing w:before="158" w:line="362" w:lineRule="auto"/>
        <w:ind w:left="0" w:right="-6" w:firstLine="0"/>
        <w:rPr>
          <w:sz w:val="24"/>
        </w:rPr>
      </w:pPr>
    </w:p>
    <w:p>
      <w:pPr>
        <w:tabs>
          <w:tab w:val="left" w:pos="3234"/>
        </w:tabs>
      </w:pPr>
    </w:p>
    <w:sectPr>
      <w:headerReference r:id="rId3" w:type="default"/>
      <w:footerReference r:id="rId4" w:type="default"/>
      <w:pgSz w:w="11910" w:h="16840"/>
      <w:pgMar w:top="1440" w:right="1800" w:bottom="1440" w:left="1800" w:header="896"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1">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9"/>
    <w:multiLevelType w:val="multilevel"/>
    <w:tmpl w:val="00000009"/>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B550B"/>
    <w:rsid w:val="164D3646"/>
    <w:rsid w:val="24360411"/>
    <w:rsid w:val="28FF29C7"/>
    <w:rsid w:val="29F1417B"/>
    <w:rsid w:val="2EBC3ADE"/>
    <w:rsid w:val="30904306"/>
    <w:rsid w:val="37545D94"/>
    <w:rsid w:val="3C1F37FA"/>
    <w:rsid w:val="3EEF0708"/>
    <w:rsid w:val="45D67ACB"/>
    <w:rsid w:val="4AB96A0D"/>
    <w:rsid w:val="53DD220A"/>
    <w:rsid w:val="5A6925F9"/>
    <w:rsid w:val="5D0575BC"/>
    <w:rsid w:val="6503143F"/>
    <w:rsid w:val="6B4736C0"/>
    <w:rsid w:val="7CC673ED"/>
    <w:rsid w:val="7CEE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spacing w:before="60"/>
      <w:ind w:left="2062"/>
      <w:outlineLvl w:val="0"/>
    </w:pPr>
    <w:rPr>
      <w:b/>
      <w:bCs/>
      <w:sz w:val="28"/>
      <w:szCs w:val="28"/>
    </w:rPr>
  </w:style>
  <w:style w:type="paragraph" w:styleId="5">
    <w:name w:val="heading 2"/>
    <w:basedOn w:val="1"/>
    <w:next w:val="1"/>
    <w:qFormat/>
    <w:uiPriority w:val="1"/>
    <w:pPr>
      <w:ind w:left="1981"/>
      <w:outlineLvl w:val="1"/>
    </w:pPr>
    <w:rPr>
      <w:b/>
      <w:bCs/>
      <w:sz w:val="24"/>
      <w:szCs w:val="24"/>
    </w:rPr>
  </w:style>
  <w:style w:type="character" w:default="1" w:styleId="13">
    <w:name w:val="Default Paragraph Font"/>
    <w:qFormat/>
    <w:uiPriority w:val="1"/>
  </w:style>
  <w:style w:type="table" w:default="1" w:styleId="12">
    <w:name w:val="Normal Table"/>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ind w:left="1500" w:firstLine="480"/>
    </w:pPr>
    <w:rPr>
      <w:sz w:val="24"/>
      <w:szCs w:val="24"/>
    </w:rPr>
  </w:style>
  <w:style w:type="paragraph" w:styleId="6">
    <w:name w:val="annotation text"/>
    <w:basedOn w:val="1"/>
    <w:link w:val="18"/>
    <w:qFormat/>
    <w:uiPriority w:val="0"/>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Autospacing="1" w:afterAutospacing="1"/>
    </w:pPr>
    <w:rPr>
      <w:rFonts w:cs="Times New Roman"/>
      <w:sz w:val="24"/>
      <w:lang w:val="en-US" w:bidi="ar-SA"/>
    </w:rPr>
  </w:style>
  <w:style w:type="paragraph" w:styleId="11">
    <w:name w:val="annotation subject"/>
    <w:basedOn w:val="6"/>
    <w:next w:val="6"/>
    <w:link w:val="19"/>
    <w:qFormat/>
    <w:uiPriority w:val="0"/>
    <w:rPr>
      <w:b/>
      <w:bCs/>
    </w:rPr>
  </w:style>
  <w:style w:type="character" w:styleId="14">
    <w:name w:val="annotation reference"/>
    <w:basedOn w:val="13"/>
    <w:qFormat/>
    <w:uiPriority w:val="0"/>
    <w:rPr>
      <w:sz w:val="21"/>
      <w:szCs w:val="21"/>
    </w:rPr>
  </w:style>
  <w:style w:type="table" w:customStyle="1" w:styleId="15">
    <w:name w:val="Table Normal"/>
    <w:qFormat/>
    <w:uiPriority w:val="2"/>
    <w:tblPr>
      <w:tblCellMar>
        <w:top w:w="0" w:type="dxa"/>
        <w:left w:w="0" w:type="dxa"/>
        <w:bottom w:w="0" w:type="dxa"/>
        <w:right w:w="0" w:type="dxa"/>
      </w:tblCellMar>
    </w:tblPr>
  </w:style>
  <w:style w:type="paragraph" w:styleId="16">
    <w:name w:val="List Paragraph"/>
    <w:basedOn w:val="1"/>
    <w:qFormat/>
    <w:uiPriority w:val="99"/>
    <w:pPr>
      <w:ind w:left="1500" w:firstLine="480"/>
    </w:pPr>
  </w:style>
  <w:style w:type="paragraph" w:customStyle="1" w:styleId="17">
    <w:name w:val="Table Paragraph"/>
    <w:basedOn w:val="1"/>
    <w:qFormat/>
    <w:uiPriority w:val="1"/>
  </w:style>
  <w:style w:type="character" w:customStyle="1" w:styleId="18">
    <w:name w:val="批注文字 Char"/>
    <w:basedOn w:val="13"/>
    <w:link w:val="6"/>
    <w:qFormat/>
    <w:uiPriority w:val="0"/>
    <w:rPr>
      <w:rFonts w:ascii="仿宋" w:hAnsi="仿宋" w:eastAsia="仿宋" w:cs="仿宋"/>
      <w:sz w:val="22"/>
      <w:szCs w:val="22"/>
      <w:lang w:val="zh-CN" w:bidi="zh-CN"/>
    </w:rPr>
  </w:style>
  <w:style w:type="character" w:customStyle="1" w:styleId="19">
    <w:name w:val="批注主题 Char"/>
    <w:basedOn w:val="18"/>
    <w:link w:val="11"/>
    <w:qFormat/>
    <w:uiPriority w:val="0"/>
    <w:rPr>
      <w:rFonts w:ascii="仿宋" w:hAnsi="仿宋" w:eastAsia="仿宋" w:cs="仿宋"/>
      <w:b/>
      <w:bCs/>
      <w:sz w:val="22"/>
      <w:szCs w:val="22"/>
      <w:lang w:val="zh-CN" w:bidi="zh-CN"/>
    </w:rPr>
  </w:style>
  <w:style w:type="character" w:customStyle="1" w:styleId="20">
    <w:name w:val="批注框文本 Char"/>
    <w:basedOn w:val="13"/>
    <w:link w:val="7"/>
    <w:qFormat/>
    <w:uiPriority w:val="0"/>
    <w:rPr>
      <w:rFonts w:ascii="仿宋" w:hAnsi="仿宋" w:eastAsia="仿宋" w:cs="仿宋"/>
      <w:sz w:val="18"/>
      <w:szCs w:val="18"/>
      <w:lang w:val="zh-CN" w:bidi="zh-CN"/>
    </w:rPr>
  </w:style>
  <w:style w:type="table" w:customStyle="1" w:styleId="2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17435</Words>
  <Characters>17989</Characters>
  <Paragraphs>727</Paragraphs>
  <TotalTime>72</TotalTime>
  <ScaleCrop>false</ScaleCrop>
  <LinksUpToDate>false</LinksUpToDate>
  <CharactersWithSpaces>18127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2021-01-05T08:22:00Z</dcterms:created>
  <dc:creator>xiongxinjuan</dc:creator>
  <cp:lastModifiedBy>使徒行者</cp:lastModifiedBy>
  <dcterms:modified xsi:type="dcterms:W3CDTF">2021-04-09T02:13:12Z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2016</vt:lpwstr>
  </property>
  <property fmtid="{D5CDD505-2E9C-101B-9397-08002B2CF9AE}" pid="4" name="LastSaved">
    <vt:filetime>2020-12-30T00:00:00Z</vt:filetime>
  </property>
  <property fmtid="{D5CDD505-2E9C-101B-9397-08002B2CF9AE}" pid="5" name="KSOProductBuildVer">
    <vt:lpwstr>2052-11.1.0.10314</vt:lpwstr>
  </property>
  <property fmtid="{D5CDD505-2E9C-101B-9397-08002B2CF9AE}" pid="6" name="ICV">
    <vt:lpwstr>FF6D6E25729E41F8A5722FA05DFA7079</vt:lpwstr>
  </property>
</Properties>
</file>